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07.png" ContentType="image/png"/>
  <Override PartName="/word/media/rId110.png" ContentType="image/png"/>
  <Override PartName="/word/media/rId113.png" ContentType="image/png"/>
  <Override PartName="/word/media/rId116.png" ContentType="image/png"/>
  <Override PartName="/word/media/rId10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rPr>
          <w:bCs/>
          <w:b/>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Cs/>
          <w:b/>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We have performed an RNA-sequencing experiment characterizing the transcriptome of turkey hemorrhagic enteritis virus (THEV) for the first time, yielding the only insight into THEV’s gene expression patterns. Previously, THEV’s genome had been predicted to encode 23 open reading frames (ORFs). In this work we identified 29 transcripts from our RNA-seq data all of which consisted of novel exons albeit some exons matched the predicted ORFs. The three predicted splice junctions were also corroborated by our data. We performed PCR amplification of THEV cDNA and cloned the PCR products, and Sanger sequencing was used to validate all identified splice junctions. During validation, we identified 5 additional transcripts some of which were further validated by 3’RACE data. Thus, the transcriptome of THEV consists of 34 unique transcripts with the coding capacity for all predicted ORFs. However, we found 6 predicted ORFs (ORF1, E3, 33K, ORF8, IVa2, and protease) to be truncated predictions as either an in-frame upstream start codon was identified or additional coding exons were found. We also identified 3 predicted ORFs with longer or shorter isoforms, and 7 novel unpredicted ORFs that could be encoded by some transcripts; albeit it is beyond the scope of this manuscript to investigate whether they get translated. Similar to other adenoviruses, THEV also produce multiple distinctly spliced transcripts that code for the same protein across its genome. Also, our data shows that all THEV transcripts are spliced, and organized in five transcription units under the control of their cognate promoter. However, our data suggests that THEV’s temporal regulation may be different from other adenoviruses. Over 2,300 unique splice junctions were found across the genome, mostly at low levels. This low-level use of broad alternative splicing patterns is thought to enable the virus to maximize its coding potential in an evolving environment.</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vertebrates.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w:t>
      </w:r>
      <w:r>
        <w:t xml:space="preserve"> </w:t>
      </w:r>
      <w:r>
        <w:t xml:space="preserve">“</w:t>
      </w:r>
      <w:r>
        <w:t xml:space="preserve">Genus-specific</w:t>
      </w:r>
      <w:r>
        <w:t xml:space="preserve">”</w:t>
      </w:r>
      <w:r>
        <w:t xml:space="preserve"> </w:t>
      </w:r>
      <w:r>
        <w:t xml:space="preserve">genes tend to be located at the termini of the genome while</w:t>
      </w:r>
      <w:r>
        <w:t xml:space="preserve"> </w:t>
      </w:r>
      <w:r>
        <w:t xml:space="preserve">“</w:t>
      </w:r>
      <w:r>
        <w:t xml:space="preserve">genus-common</w:t>
      </w:r>
      <w:r>
        <w:t xml:space="preserve">”</w:t>
      </w:r>
      <w:r>
        <w:t xml:space="preserve"> </w:t>
      </w:r>
      <w:r>
        <w:t xml:space="preserve">genes are usually central</w:t>
      </w:r>
      <w:r>
        <w:t xml:space="preserve"> </w:t>
      </w:r>
      <w:r>
        <w:t xml:space="preserve">(1)</w:t>
      </w:r>
      <w:r>
        <w:t xml:space="preserve">. This pattern is observed in</w:t>
      </w:r>
      <w:r>
        <w:t xml:space="preserve"> </w:t>
      </w:r>
      <w:r>
        <w:rPr>
          <w:iCs/>
          <w:i/>
        </w:rPr>
        <w:t xml:space="preserve">Adenoviridae</w:t>
      </w:r>
      <w:r>
        <w:t xml:space="preserve">,</w:t>
      </w:r>
      <w:r>
        <w:t xml:space="preserve"> </w:t>
      </w:r>
      <w:r>
        <w:rPr>
          <w:iCs/>
          <w:i/>
        </w:rPr>
        <w:t xml:space="preserve">Poxviridae</w:t>
      </w:r>
      <w:r>
        <w:t xml:space="preserve">, and</w:t>
      </w:r>
      <w:r>
        <w:t xml:space="preserve"> </w:t>
      </w:r>
      <w:r>
        <w:rPr>
          <w:iCs/>
          <w:i/>
        </w:rPr>
        <w:t xml:space="preserve">Herpesviridae</w:t>
      </w:r>
      <w:r>
        <w:t xml:space="preserve"> </w:t>
      </w:r>
      <w:r>
        <w:t xml:space="preserve">(1, 3, 4)</w:t>
      </w:r>
      <w:r>
        <w:t xml:space="preserve">. The family</w:t>
      </w:r>
      <w:r>
        <w:t xml:space="preserve"> </w:t>
      </w:r>
      <w:r>
        <w:rPr>
          <w:iCs/>
          <w:i/>
        </w:rPr>
        <w:t xml:space="preserve">Adenoviridae</w:t>
      </w:r>
      <w:r>
        <w:t xml:space="preserve"> </w:t>
      </w:r>
      <w:r>
        <w:t xml:space="preserve">consists of five genera:</w:t>
      </w:r>
      <w:r>
        <w:t xml:space="preserve"> </w:t>
      </w:r>
      <w:r>
        <w:rPr>
          <w:iCs/>
          <w:i/>
        </w:rPr>
        <w:t xml:space="preserve">Mastadenovirus</w:t>
      </w:r>
      <w:r>
        <w:t xml:space="preserve"> </w:t>
      </w:r>
      <w:r>
        <w:t xml:space="preserve">(MAdV),</w:t>
      </w:r>
      <w:r>
        <w:t xml:space="preserve"> </w:t>
      </w:r>
      <w:r>
        <w:rPr>
          <w:iCs/>
          <w:i/>
        </w:rPr>
        <w:t xml:space="preserve">Aviadenovirus</w:t>
      </w:r>
      <w:r>
        <w:t xml:space="preserve">,</w:t>
      </w:r>
      <w:r>
        <w:t xml:space="preserve"> </w:t>
      </w:r>
      <w:r>
        <w:rPr>
          <w:iCs/>
          <w:i/>
        </w:rPr>
        <w:t xml:space="preserve">Atadenovirus</w:t>
      </w:r>
      <w:r>
        <w:t xml:space="preserve">,</w:t>
      </w:r>
      <w:r>
        <w:t xml:space="preserve"> </w:t>
      </w:r>
      <w:r>
        <w:rPr>
          <w:iCs/>
          <w:i/>
        </w:rPr>
        <w:t xml:space="preserve">Ichtadenovirus</w:t>
      </w:r>
      <w:r>
        <w:t xml:space="preserve">, and</w:t>
      </w:r>
      <w:r>
        <w:t xml:space="preserve"> </w:t>
      </w:r>
      <w:r>
        <w:rPr>
          <w:iCs/>
          <w:i/>
        </w:rPr>
        <w:t xml:space="preserve">Siadenovirus</w:t>
      </w:r>
      <w:r>
        <w:t xml:space="preserve"> </w:t>
      </w:r>
      <w:r>
        <w:t xml:space="preserve">(SiAdV)</w:t>
      </w:r>
      <w:r>
        <w:t xml:space="preserve"> </w:t>
      </w:r>
      <w:r>
        <w:t xml:space="preserve">(5, 6)</w:t>
      </w:r>
      <w:r>
        <w:t xml:space="preserve">. Currently, there are three recognized members of the genus SiAdV: frog adenovirus 1, raptor adenovirus 1, and turkey adenovirus 3 also called turkey hemorrhagic enteritis virus (THEV)</w:t>
      </w:r>
      <w:r>
        <w:t xml:space="preserve"> </w:t>
      </w:r>
      <w:r>
        <w:t xml:space="preserve">(5, 7–10)</w:t>
      </w:r>
      <w:r>
        <w:t xml:space="preserve">. Members of SiAdV have the smallest genome size (~26 kb) and gene content (~23 genes) of all known AdVs, and many</w:t>
      </w:r>
      <w:r>
        <w:t xml:space="preserve"> </w:t>
      </w:r>
      <w:r>
        <w:t xml:space="preserve">“</w:t>
      </w:r>
      <w:r>
        <w:t xml:space="preserve">genus-specific</w:t>
      </w:r>
      <w:r>
        <w:t xml:space="preserve">”</w:t>
      </w:r>
      <w:r>
        <w:t xml:space="preserve"> </w:t>
      </w:r>
      <w:r>
        <w:t xml:space="preserve">putative genes of unknown functions have been annotated (see</w:t>
      </w:r>
      <w:r>
        <w:t xml:space="preserve"> </w:t>
      </w:r>
      <w:r>
        <w:rPr>
          <w:bCs/>
          <w:b/>
        </w:rPr>
        <w:t xml:space="preserve">Figure 1</w:t>
      </w:r>
      <w:r>
        <w:t xml:space="preserve">)</w:t>
      </w:r>
      <w:r>
        <w:t xml:space="preserve">(1, 2, 7)</w:t>
      </w:r>
      <w:r>
        <w:t xml:space="preserve">.</w:t>
      </w:r>
    </w:p>
    <w:p>
      <w:pPr>
        <w:pStyle w:val="BodyText"/>
      </w:pPr>
      <w:r>
        <w:t xml:space="preserve">Virulent THEV strains (THEV-V) and avirulent strains (THEV-A) of THEV are serologically indistinguishable, infecting turkeys, chickens, and pheasants, with the THEV-V causing different clinical diseases in these birds</w:t>
      </w:r>
      <w:r>
        <w:t xml:space="preserve"> </w:t>
      </w:r>
      <w:r>
        <w:t xml:space="preserve">(2, 11)</w:t>
      </w:r>
      <w:r>
        <w:t xml:space="preserve">. In turkeys, the THEV-V cause hemorrhagic enteritis (HE), a debilitating acute disease affecting predominantly 6-12-week-old turkeys characterized by immunosuppression (IS), weight loss, intestinal lesions leading to bloody diarrhea, splenomegaly, and up to 80% mortality</w:t>
      </w:r>
      <w:r>
        <w:t xml:space="preserve"> </w:t>
      </w:r>
      <w:r>
        <w:t xml:space="preserve">(11–13)</w:t>
      </w:r>
      <w:r>
        <w:t xml:space="preserve">. HE is the most economically significant disease caused by any strain of THEV</w:t>
      </w:r>
      <w:r>
        <w:t xml:space="preserve"> </w:t>
      </w:r>
      <w:r>
        <w:t xml:space="preserve">(11)</w:t>
      </w:r>
      <w:r>
        <w:t xml:space="preserve">. While the current vaccine strain (a THEV-A isolated from a pheasant, Virginia Avirulent Strain [VAS]) has proven effective at preventing HE in young turkey poults, it still retains the immunosuppressive ability. Thus, vaccinated birds are rendered more susceptible to opportunistic infections and death than unvaccinated cohorts leading to substantial economic losses</w:t>
      </w:r>
      <w:r>
        <w:t xml:space="preserve"> </w:t>
      </w:r>
      <w:r>
        <w:t xml:space="preserve">(11, 14–16)</w:t>
      </w:r>
      <w:r>
        <w:t xml:space="preserve">. To eliminate this immunossupressive side-effect of the vaccine, a thorough investigation of the culprit viral factors (genes) mediating this phenomenon is essential. However, the transcriptome (splicing and gene expression patterns) of THEV has not been characterized, making the investigation of specific viral genes for possible roles in causing IS impractical. A well-characterized transcriptome of THEV is required to enable experimentation with specific viral genes that may mediate IS.</w:t>
      </w:r>
    </w:p>
    <w:p>
      <w:pPr>
        <w:pStyle w:val="BodyText"/>
      </w:pPr>
      <w:r>
        <w:t xml:space="preserve">Myriads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(6, 19)</w:t>
      </w:r>
      <w:r>
        <w:t xml:space="preserve">. MAdV genes are transcribed in a temporal manner; therefore, genes are categorized into five early transcription units (E1A, E1B, E2, E3, and E4), two intermediate (IM) units (pIX and IVa2), and one major late unit (MLTU or major late promoter [MLP] region), which generates five families of late mRNAs (L1-L5) based on the polyadenylation site. An additional gene (UXP or U exon) is located on the reverse strand. The early genes encode non-structural proteins such as enzymes or host cell modulating proteins, primarily involved in DNA replication, or providing the necessary intracellular niche for optimal replication while late genes encode structural proteins that act as capsid proteins, promote virion assembly, and direct genome packaging. The immediate early gene E1A is expressed first, followed by the the delayed early genes, E1B, E2, E3 and E4. Then the intermediate early genes, IVa2 and pIX are expressed followed by the late genes</w:t>
      </w:r>
      <w:r>
        <w:t xml:space="preserve"> </w:t>
      </w:r>
      <w:r>
        <w:t xml:space="preserve">(6, 17, 18)</w:t>
      </w:r>
      <w:r>
        <w:t xml:space="preserve">. Noteworthily, the MLP shows basal transcriptional activity during early infection (before DNA replication), with a comparable efficiency to other early viral promoters, but reaches its maximal activity during late infection (after DNA replication). However, during early infection the repertoire of late transcripts from the MLP is restricted until late infection</w:t>
      </w:r>
      <w:r>
        <w:t xml:space="preserve"> </w:t>
      </w:r>
      <w:r>
        <w:t xml:space="preserve">(6)</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5’ three non-coding exons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all the array of mRNA transcripts produced via alternative splicing in the unit</w:t>
      </w:r>
      <w:r>
        <w:t xml:space="preserve"> </w:t>
      </w:r>
      <w:r>
        <w:t xml:space="preserve">(6, 17, 18)</w:t>
      </w:r>
      <w:r>
        <w:t xml:space="preserve">. The promoters are activated at different phases of the infection by proteins from previously activated TUs. Paradoxically, the early-to-late phase transition during infection requires the L4 genes, 22K and 33K, which should only be available after the transition. However, a promoter in the L4 region (L4P) that directs the expression of these two proteins independent of the MLP was found, resolving the paradox</w:t>
      </w:r>
      <w:r>
        <w:t xml:space="preserve"> </w:t>
      </w:r>
      <w:r>
        <w:t xml:space="preserve">(6, 17, 21)</w:t>
      </w:r>
      <w:r>
        <w:t xml:space="preserve">. During translation of AdV mRNA, recent studies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 [</w:t>
      </w:r>
      <w:r>
        <w:t xml:space="preserve">(23)</w:t>
      </w:r>
      <w:r>
        <w:t xml:space="preserve">;</w:t>
      </w:r>
      <w:r>
        <w:t xml:space="preserve"> </w:t>
      </w:r>
      <w:r>
        <w:t xml:space="preserve">(18)</w:t>
      </w:r>
      <w:r>
        <w:t xml:space="preserve">; Westergren2021]. In this paper, a paired-end deep sequencing experiment was performed to characterize for the first time the transcriptome of THEV (VAS vaccine strain) during different phases of the infection, yielding the first THEV splicing map. Our paired-end sequencing allowed for reading</w:t>
      </w:r>
      <w:r>
        <w:t xml:space="preserve"> </w:t>
      </w:r>
      <w:r>
        <w:rPr>
          <w:bCs/>
          <w:b/>
        </w:rPr>
        <w:t xml:space="preserve">149</w:t>
      </w:r>
      <w:r>
        <w:t xml:space="preserve"> </w:t>
      </w:r>
      <w:r>
        <w:t xml:space="preserve">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Cs/>
          <w:b/>
        </w:rPr>
        <w:t xml:space="preserve">Overview of sequencing data and analysis pipeline outputs</w:t>
      </w:r>
      <w:r>
        <w:br/>
      </w:r>
      <w:r>
        <w:t xml:space="preserve">A previous study by Aboezz</w:t>
      </w:r>
      <w:r>
        <w:t xml:space="preserve"> </w:t>
      </w:r>
      <w:r>
        <w:rPr>
          <w:iCs/>
          <w:i/>
        </w:rPr>
        <w:t xml:space="preserve">et al</w:t>
      </w:r>
      <w:r>
        <w:t xml:space="preserve"> </w:t>
      </w:r>
      <w:r>
        <w:t xml:space="preserve">showed that almost all THEV transcripts were detectable beginning at 4 hours</w:t>
      </w:r>
      <w:r>
        <w:t xml:space="preserve"> </w:t>
      </w:r>
      <w:r>
        <w:t xml:space="preserve">(24)</w:t>
      </w:r>
      <w:r>
        <w:t xml:space="preserve">. Therefore, infected MDTC-RP19 cells were harvested at 4-, 12-, 24-, and 72-hours post-infection (h.p.i) to ensure an amply wide time window to sample all transcripts. Our paired-end RNA sequencing (RNA-seq) experiment yielded an average of</w:t>
      </w:r>
      <w:r>
        <w:t xml:space="preserve"> </w:t>
      </w:r>
      <w:r>
        <w:rPr>
          <w:bCs/>
          <w:b/>
        </w:rPr>
        <w:t xml:space="preserve">107.1</w:t>
      </w:r>
      <w:r>
        <w:t xml:space="preserve"> </w:t>
      </w:r>
      <w:r>
        <w:t xml:space="preserve">million total reads of</w:t>
      </w:r>
      <w:r>
        <w:t xml:space="preserve"> </w:t>
      </w:r>
      <w:r>
        <w:rPr>
          <w:bCs/>
          <w:b/>
        </w:rPr>
        <w:t xml:space="preserve">149</w:t>
      </w:r>
      <w:r>
        <w:t xml:space="preserve">bp in length per time-point, which were simultaneously mapped to both the virus (THEV) and host (</w:t>
      </w:r>
      <w:r>
        <w:rPr>
          <w:iCs/>
          <w:i/>
        </w:rPr>
        <w:t xml:space="preserve">Meleagris gallopavo</w:t>
      </w:r>
      <w:r>
        <w:t xml:space="preserve">) genomes using the</w:t>
      </w:r>
      <w:r>
        <w:t xml:space="preserve"> </w:t>
      </w:r>
      <w:r>
        <w:rPr>
          <w:rStyle w:val="VerbatimChar"/>
        </w:rPr>
        <w:t xml:space="preserve">Hisat2</w:t>
      </w:r>
      <w:r>
        <w:t xml:space="preserve"> </w:t>
      </w:r>
      <w:r>
        <w:t xml:space="preserve">(25)</w:t>
      </w:r>
      <w:r>
        <w:t xml:space="preserve"> </w:t>
      </w:r>
      <w:r>
        <w:t xml:space="preserve">alignment program. A total of</w:t>
      </w:r>
      <w:r>
        <w:t xml:space="preserve"> </w:t>
      </w:r>
      <w:r>
        <w:rPr>
          <w:bCs/>
          <w:b/>
        </w:rPr>
        <w:t xml:space="preserve">18.1</w:t>
      </w:r>
      <w:r>
        <w:t xml:space="preserve"> </w:t>
      </w:r>
      <w:r>
        <w:t xml:space="preserve">million reads from all time-points mapped to the virus genome; this provided good coverage/depth, leaving no regions unmapped. The mapped reads to the virus genome increased substantially from</w:t>
      </w:r>
      <w:r>
        <w:t xml:space="preserve"> </w:t>
      </w:r>
      <w:r>
        <w:rPr>
          <w:bCs/>
          <w:b/>
        </w:rPr>
        <w:t xml:space="preserve">432</w:t>
      </w:r>
      <w:r>
        <w:t xml:space="preserve"> </w:t>
      </w:r>
      <w:r>
        <w:t xml:space="preserve">reads at 4 h.p.i to</w:t>
      </w:r>
      <w:r>
        <w:t xml:space="preserve"> </w:t>
      </w:r>
      <w:r>
        <w:rPr>
          <w:bCs/>
          <w:b/>
        </w:rPr>
        <w:t xml:space="preserve">16.9</w:t>
      </w:r>
      <w:r>
        <w:t xml:space="preserve"> </w:t>
      </w:r>
      <w:r>
        <w:t xml:space="preserve">million reads at 72 h.p.i (</w:t>
      </w:r>
      <w:r>
        <w:rPr>
          <w:bCs/>
          <w:b/>
        </w:rPr>
        <w:t xml:space="preserve">Table 1</w:t>
      </w:r>
      <w:r>
        <w:t xml:space="preserve">,</w:t>
      </w:r>
      <w:r>
        <w:t xml:space="preserve"> </w:t>
      </w:r>
      <w:r>
        <w:rPr>
          <w:bCs/>
          <w:b/>
        </w:rPr>
        <w:t xml:space="preserve">Figure 2a</w:t>
      </w:r>
      <w:r>
        <w:t xml:space="preserve">). From the mapped reads, we identified a total of</w:t>
      </w:r>
      <w:r>
        <w:t xml:space="preserve"> </w:t>
      </w:r>
      <w:r>
        <w:rPr>
          <w:bCs/>
          <w:b/>
        </w:rPr>
        <w:t xml:space="preserve">2,457</w:t>
      </w:r>
      <w:r>
        <w:t xml:space="preserve"> </w:t>
      </w:r>
      <w:r>
        <w:t xml:space="preserve">unique THEV splice junctions from all time-points, with splice junctions from the later time-points being supported by significantly more sequence reads than earlier time-points. For example, all the</w:t>
      </w:r>
      <w:r>
        <w:t xml:space="preserve"> </w:t>
      </w:r>
      <w:r>
        <w:rPr>
          <w:bCs/>
          <w:b/>
        </w:rPr>
        <w:t xml:space="preserve">13</w:t>
      </w:r>
      <w:r>
        <w:t xml:space="preserve"> </w:t>
      </w:r>
      <w:r>
        <w:t xml:space="preserve">unique junctions at 4 h.p.i had less than 10 reads supporting each one, averaging a mere</w:t>
      </w:r>
      <w:r>
        <w:t xml:space="preserve"> </w:t>
      </w:r>
      <w:r>
        <w:rPr>
          <w:bCs/>
          <w:b/>
        </w:rPr>
        <w:t xml:space="preserve">2.8</w:t>
      </w:r>
      <w:r>
        <w:t xml:space="preserve"> </w:t>
      </w:r>
      <w:r>
        <w:t xml:space="preserve">reads/junction. Conversely, the</w:t>
      </w:r>
      <w:r>
        <w:t xml:space="preserve"> </w:t>
      </w:r>
      <w:r>
        <w:rPr>
          <w:bCs/>
          <w:b/>
        </w:rPr>
        <w:t xml:space="preserve">2,374</w:t>
      </w:r>
      <w:r>
        <w:t xml:space="preserve"> </w:t>
      </w:r>
      <w:r>
        <w:t xml:space="preserve">unique junctions at 72 h.p.i averaged</w:t>
      </w:r>
      <w:r>
        <w:t xml:space="preserve"> </w:t>
      </w:r>
      <w:r>
        <w:rPr>
          <w:bCs/>
          <w:b/>
        </w:rPr>
        <w:t xml:space="preserve">898.4</w:t>
      </w:r>
      <w:r>
        <w:t xml:space="preserve"> </w:t>
      </w:r>
      <w:r>
        <w:t xml:space="preserve">reads/junction, some junctions having coverage as high as</w:t>
      </w:r>
      <w:r>
        <w:t xml:space="preserve"> </w:t>
      </w:r>
      <w:r>
        <w:rPr>
          <w:bCs/>
          <w:b/>
        </w:rPr>
        <w:t xml:space="preserve">322,677</w:t>
      </w:r>
      <w:r>
        <w:t xml:space="preserve"> </w:t>
      </w:r>
      <w:r>
        <w:t xml:space="preserve">reads. The substantial increases in splice junction and mapping reads to the THEV genome over time denotes an active infection and correlates with our quantitative PCR (qPCR) assay quantifying the total number of viral genome copies over time (</w:t>
      </w:r>
      <w:r>
        <w:rPr>
          <w:bCs/>
          <w:b/>
        </w:rPr>
        <w:t xml:space="preserve">Figure 2b</w:t>
      </w:r>
      <w:r>
        <w:t xml:space="preserve">).</w:t>
      </w:r>
    </w:p>
    <w:p>
      <w:pPr>
        <w:pStyle w:val="BodyText"/>
      </w:pPr>
      <w:r>
        <w:t xml:space="preserve">Using</w:t>
      </w:r>
      <w:r>
        <w:t xml:space="preserve"> </w:t>
      </w:r>
      <w:r>
        <w:rPr>
          <w:rStyle w:val="VerbatimChar"/>
        </w:rPr>
        <w:t xml:space="preserve">StringTie</w:t>
      </w:r>
      <w:r>
        <w:t xml:space="preserve"> </w:t>
      </w:r>
      <w:r>
        <w:t xml:space="preserve">(25)</w:t>
      </w:r>
      <w:r>
        <w:t xml:space="preserve">, an assembler of RNA-seq alignments into potential transcripts, the mapped reads for each time point were assembled into transcripts using the genomic location of the predicted THEV ORFs as a guide. In the consolidated transcriptome, a composite of all unredundant transcripts from all time points, we counted a total of</w:t>
      </w:r>
      <w:r>
        <w:t xml:space="preserve"> </w:t>
      </w:r>
      <w:r>
        <w:rPr>
          <w:bCs/>
          <w:b/>
        </w:rPr>
        <w:t xml:space="preserve">29</w:t>
      </w:r>
      <w:r>
        <w:t xml:space="preserve"> </w:t>
      </w:r>
      <w:r>
        <w:t xml:space="preserve">novel transcripts. Although some exons in some transcripts match the predicted ORFs exactly, most of our identified exons are longer, spanning multiple predicted ORFs (</w:t>
      </w:r>
      <w:r>
        <w:rPr>
          <w:bCs/>
          <w:b/>
        </w:rPr>
        <w:t xml:space="preserve">Figure 3</w:t>
      </w:r>
      <w:r>
        <w:t xml:space="preserve">).</w:t>
      </w:r>
    </w:p>
    <w:p>
      <w:pPr>
        <w:pStyle w:val="BodyText"/>
      </w:pPr>
      <w:r>
        <w:t xml:space="preserve">We validated the splice junctions in all transcripts by PCR amplification of viral cDNA, cloning, and Sanger sequencing (</w:t>
      </w:r>
      <w:r>
        <w:rPr>
          <w:bCs/>
          <w:b/>
        </w:rPr>
        <w:t xml:space="preserve">Supplementary PCR methods</w:t>
      </w:r>
      <w:r>
        <w:t xml:space="preserve">). During validation, we identified 5 additional transcripts some of which were further validated by 3’ Rapid Amplification of cDNA Ends (3’RACE) data. The complete list of unique splice junctions mapped to THEV’s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Cs/>
          <w:b/>
        </w:rPr>
        <w:t xml:space="preserve">Changes in THEV splicing profile over time</w:t>
      </w:r>
      <w:r>
        <w:br/>
      </w:r>
      <w:r>
        <w:t xml:space="preserve">AdV gene expression occurs under exquisite temporal control with each promoter typically producing one or few pre-mRNAs that undergo alternative splicing to yield the manifold repertoire of complex transcripts. To evaluate the activity of each promoter over time,</w:t>
      </w:r>
      <w:r>
        <w:t xml:space="preserve"> </w:t>
      </w:r>
      <w:r>
        <w:rPr>
          <w:rStyle w:val="VerbatimChar"/>
        </w:rPr>
        <w:t xml:space="preserve">StringTie</w:t>
      </w:r>
      <w:r>
        <w:t xml:space="preserve"> </w:t>
      </w:r>
      <w:r>
        <w:t xml:space="preserve">and</w:t>
      </w:r>
      <w:r>
        <w:t xml:space="preserve"> </w:t>
      </w:r>
      <w:r>
        <w:rPr>
          <w:rStyle w:val="VerbatimChar"/>
        </w:rPr>
        <w:t xml:space="preserve">Ballgown</w:t>
      </w:r>
      <w:r>
        <w:t xml:space="preserve"> </w:t>
      </w:r>
      <w:r>
        <w:t xml:space="preserve">(a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about</w:t>
      </w:r>
      <w:r>
        <w:t xml:space="preserve"> </w:t>
      </w:r>
      <w:r>
        <w:rPr>
          <w:bCs/>
          <w:b/>
        </w:rPr>
        <w:t xml:space="preserve">33.58</w:t>
      </w:r>
      <w:r>
        <w:t xml:space="preserve">%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Cs/>
          <w:b/>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Cs/>
          <w:b/>
        </w:rPr>
        <w:t xml:space="preserve">Figure 4b</w:t>
      </w:r>
      <w:r>
        <w:t xml:space="preserve">). Secondly, we estimated relative abundances of all splice junctions at each time point using the raw reads. For individual junctions, we counted as significantly expressed only junctions with coverage of at least 1% of the total splice junction reads at the given time point. At 12 h.p.i,</w:t>
      </w:r>
      <w:r>
        <w:t xml:space="preserve"> </w:t>
      </w:r>
      <w:r>
        <w:rPr>
          <w:bCs/>
          <w:b/>
        </w:rPr>
        <w:t xml:space="preserve">18</w:t>
      </w:r>
      <w:r>
        <w:t xml:space="preserve"> </w:t>
      </w:r>
      <w:r>
        <w:t xml:space="preserve">junctions meet the 1% threshold, and were comprised of predominantly early region (E1, E2, E3, and E4) junctions, albeit the MLTU was the single most preponderant region overall, constituting</w:t>
      </w:r>
      <w:r>
        <w:t xml:space="preserve"> </w:t>
      </w:r>
      <w:r>
        <w:rPr>
          <w:bCs/>
          <w:b/>
        </w:rPr>
        <w:t xml:space="preserve">38.8</w:t>
      </w:r>
      <w:r>
        <w:t xml:space="preserve">% of all the junction reads (</w:t>
      </w:r>
      <w:r>
        <w:rPr>
          <w:bCs/>
          <w:b/>
        </w:rPr>
        <w:t xml:space="preserve">Table 2a</w:t>
      </w:r>
      <w:r>
        <w:t xml:space="preserve"> </w:t>
      </w:r>
      <w:r>
        <w:t xml:space="preserve">and</w:t>
      </w:r>
      <w:r>
        <w:t xml:space="preserve"> </w:t>
      </w:r>
      <w:r>
        <w:rPr>
          <w:bCs/>
          <w:b/>
        </w:rPr>
        <w:t xml:space="preserve">Supplementary Table 1a</w:t>
      </w:r>
      <w:r>
        <w:t xml:space="preserve">). The topmost abundant junctions at 12 h.p.i remained the most significantly expressed at 24 h.p.i also. However, here, the MLP-derived junctions were unsurprisingly even more preponderant overall, accounting for</w:t>
      </w:r>
      <w:r>
        <w:t xml:space="preserve"> </w:t>
      </w:r>
      <w:r>
        <w:rPr>
          <w:bCs/>
          <w:b/>
        </w:rPr>
        <w:t xml:space="preserve">45.7</w:t>
      </w:r>
      <w:r>
        <w:t xml:space="preserve">% of all the junction reads counted (</w:t>
      </w:r>
      <w:r>
        <w:rPr>
          <w:bCs/>
          <w:b/>
        </w:rPr>
        <w:t xml:space="preserve">Table 2b</w:t>
      </w:r>
      <w:r>
        <w:t xml:space="preserve"> </w:t>
      </w:r>
      <w:r>
        <w:t xml:space="preserve">and</w:t>
      </w:r>
      <w:r>
        <w:t xml:space="preserve"> </w:t>
      </w:r>
      <w:r>
        <w:rPr>
          <w:bCs/>
          <w:b/>
        </w:rPr>
        <w:t xml:space="preserve">Supplementary Table 1b</w:t>
      </w:r>
      <w:r>
        <w:t xml:space="preserve">). At 72 h.p.i, the trend of increased activity of the MLP continued as expected; at this time, the MLP region junctions were not only the most abundant overall – accounting for</w:t>
      </w:r>
      <w:r>
        <w:t xml:space="preserve"> </w:t>
      </w:r>
      <w:r>
        <w:rPr>
          <w:bCs/>
          <w:b/>
        </w:rPr>
        <w:t xml:space="preserve">67.5</w:t>
      </w:r>
      <w:r>
        <w:t xml:space="preserve">% of all junction reads, – but also contained the most significantly expressed individual junctions (</w:t>
      </w:r>
      <w:r>
        <w:rPr>
          <w:bCs/>
          <w:b/>
        </w:rPr>
        <w:t xml:space="preserve">Table 2c</w:t>
      </w:r>
      <w:r>
        <w:t xml:space="preserve">,</w:t>
      </w:r>
      <w:r>
        <w:t xml:space="preserve"> </w:t>
      </w:r>
      <w:r>
        <w:rPr>
          <w:bCs/>
          <w:b/>
        </w:rPr>
        <w:t xml:space="preserve">Supplementary Table 1c</w:t>
      </w:r>
      <w:r>
        <w:t xml:space="preserve"> </w:t>
      </w:r>
      <w:r>
        <w:t xml:space="preserve">and</w:t>
      </w:r>
      <w:r>
        <w:t xml:space="preserve"> </w:t>
      </w:r>
      <w:r>
        <w:rPr>
          <w:bCs/>
          <w:b/>
        </w:rPr>
        <w:t xml:space="preserve">Figure 4c</w:t>
      </w:r>
      <w:r>
        <w:t xml:space="preserve">). When we limited this analysis to only junctions in the final transcriptome, the relative abundances of the junctions for each region over time was generally similar to the pattern seen with all the junctions included (</w:t>
      </w:r>
      <w:r>
        <w:rPr>
          <w:bCs/>
          <w:b/>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GT-AG nucleotides. However, the splice acceptor-donor pairing became less specific over time, such that all combinations of nucleotide pairs were eventually detected (</w:t>
      </w:r>
      <w:r>
        <w:rPr>
          <w:bCs/>
          <w:b/>
        </w:rPr>
        <w:t xml:space="preserve">Figure 5</w:t>
      </w:r>
      <w:r>
        <w:t xml:space="preserve">)</w:t>
      </w:r>
    </w:p>
    <w:p>
      <w:pPr>
        <w:pStyle w:val="BodyText"/>
      </w:pPr>
      <w:r>
        <w:rPr>
          <w:bCs/>
          <w:b/>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the other viral promoters</w:t>
      </w:r>
      <w:r>
        <w:t xml:space="preserve"> </w:t>
      </w:r>
      <w:r>
        <w:t xml:space="preserve">(6)</w:t>
      </w:r>
      <w:r>
        <w:t xml:space="preserve">. In MAdVs, this region is subdivided into E1a and E2b units, but the transcripts found in our data categorized under this region do not appear to so divided.</w:t>
      </w:r>
    </w:p>
    <w:p>
      <w:pPr>
        <w:pStyle w:val="BodyText"/>
      </w:pPr>
      <w:r>
        <w:t xml:space="preserve">Only two ORFs (ORF1 [sialidase] and Hyd) are predicted in this region; however, we discovered</w:t>
      </w:r>
      <w:r>
        <w:t xml:space="preserve"> </w:t>
      </w:r>
      <w:r>
        <w:rPr>
          <w:bCs/>
          <w:b/>
        </w:rPr>
        <w:t xml:space="preserve">four</w:t>
      </w:r>
      <w:r>
        <w:t xml:space="preserve"> </w:t>
      </w:r>
      <w:r>
        <w:t xml:space="preserve">novel transcripts in this region, which collectively contain</w:t>
      </w:r>
      <w:r>
        <w:t xml:space="preserve"> </w:t>
      </w:r>
      <w:r>
        <w:rPr>
          <w:bCs/>
          <w:b/>
        </w:rPr>
        <w:t xml:space="preserve">3</w:t>
      </w:r>
      <w:r>
        <w:t xml:space="preserve"> </w:t>
      </w:r>
      <w:r>
        <w:t xml:space="preserve">unique splice junctions (</w:t>
      </w:r>
      <w:r>
        <w:rPr>
          <w:bCs/>
          <w:b/>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(SSC), TRXPT_2 encodes the largest protein in this region – a 64.3 kDa, 580 aa protein (ORF10) with the same SSC as ORF9 (position 211bp). ORF10 spans almost the entire predicted ORF1 and Hyd, coming short in two regards: it is spliced from 1655bp to 1964bp (ORF1’s C-terminus, including the stop codon), and it’s stop codon (STC; position 2312) is 13 bp short of Hyd’s STC. However, it has an SSC 102 bp upstream and in-frame with ORF1’s predicted SSC. Thus, ORF10 shares substantial protein sequence similarity with ORF1 but not with Hyd, as the SSC of Hyd is not in-frame. Without its splice site removing the ORF1 STC, TRXPT_2 would encode a longer variant of ORF1, starting from an upstream SSC. TRXPT_3 is almost identical to TRXPT_1, except for the lack of TRXPT_1’s second exon. Our RNA-seq data shows that all E1 transcripts share the same transcription termination site (TTS; at position 2325bp). However, TRXPT_3 and TRXPT_4 seem to have transcription start sites (TSS) downstream of the TSS of TRXPT_1 and TRXPT_2 (E1 TSS; position: 54bp).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coding potential (CP) remains unaffected. Its 5’-most CDS, beginning at 1965bp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suggests it is a bona fide ORF. Unlike TRXPT_3, the CP of TRXPT_4 is affected by the TSS considered; if we consider its unmodified TSS, then its CP is the same as TRXPT_3 (ORF4 as the first CDS and Hyd as second CDS using the secondary SSC). However, if we assume that TRXPT_4 uses the E1 TSS, then the 5’-most CDS is a distinct, novel, multi-exonic 15.9 kDa, 143 aa protein (ORF11) with the same SSC as ORF9 and ORF10 but with a unique STC. The splice junctions of all transcripts in this region (except the junction for TRXPT_4) were validated by cloning of viral cDNA and Sanger sequencing (</w:t>
      </w:r>
      <w:r>
        <w:rPr>
          <w:bCs/>
          <w:b/>
        </w:rPr>
        <w:t xml:space="preserve">Supplementary PCR methods</w:t>
      </w:r>
      <w:r>
        <w:t xml:space="preserve">).</w:t>
      </w:r>
    </w:p>
    <w:p>
      <w:pPr>
        <w:pStyle w:val="BodyText"/>
      </w:pPr>
      <w:r>
        <w:t xml:space="preserve">During the validation of TRXPT_2, ORF1 was present on the agarose gel (an unspliced band size) and Sanger sequencing results as a bona fide transcript (</w:t>
      </w:r>
      <w:r>
        <w:rPr>
          <w:bCs/>
          <w:b/>
        </w:rPr>
        <w:t xml:space="preserve">Supplementary PCR methods</w:t>
      </w:r>
      <w:r>
        <w:t xml:space="preserve">). This was corroborated by our 3’RACE experiment, which showed a transcript (TRXPT_2B) spanning the entire ORF1 and Hyd ORFs without any splicing, with a poly-A tail immediately after the E1 TTS. The 5’-most CDS of this transcript (TRXPT_2B) would encode ORF1. However, TRXPT_2B has an upstream and in-frame SSC to the predicted SSC of ORF1, suggesting that the predicted ORF1 CDS is truncated – the actual ORF1 (eORF1) that is expressed shares the same SSC as ORF10, but has a unique STC.</w:t>
      </w:r>
    </w:p>
    <w:p>
      <w:pPr>
        <w:pStyle w:val="BodyText"/>
      </w:pPr>
      <w:r>
        <w:rPr>
          <w:bCs/>
          <w:b/>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Cs/>
          <w:b/>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3’RACE experiment. Additionally, from the 3’RACE, a splice variant of TRXPT_21 which retains the second intron leading to a 2-exon transcript was found. This new transcript (TRXPT_21B), albeit longer due to retaining the second intron and possessing a short 3’ UTR, encodes a truncated isoform of DBP (tDBP) because the SSC utilized by TRXPT_21, is followed shortly by STCs in the retained intron. The SSC 173 bp downstream of DBP’s SSC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 suggesting this position (16,934bp) as the bona fide E2A TTS (</w:t>
      </w:r>
      <w:r>
        <w:rPr>
          <w:bCs/>
          <w:b/>
        </w:rPr>
        <w:t xml:space="preserve">Figure 7</w:t>
      </w:r>
      <w:r>
        <w:t xml:space="preserve">).</w:t>
      </w:r>
    </w:p>
    <w:p>
      <w:pPr>
        <w:pStyle w:val="BodyText"/>
      </w:pPr>
      <w:r>
        <w:t xml:space="preserve">The E2B region transcripts also start with the E2-5’UTR but extend thousands of base pairs downstream to reach the TTS at 2334bp in the IM region, which is immediately followed by an A/T rich sequence (position 2323-2339bp) where polyadenylation probably occurs. Interestingly, the TTS of the E1 region (position 2,325bp) on the sense strand is also in the immediate vicinity of this A/T 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Cs/>
          <w:b/>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SSC of pTP) is significantly longer than predicted, and the last exon containing the bulk of the CDS is more than triple the predicted size of pTP. The first two exons are 5’-UTRs because the SSC here is immediately followed by STCs; thus, the 5’-most SSC (position 10,995bp) of the third exon which matches the predicted SSC of pTP is utilized. The encoded product is identical to the predicted pTP protein (597 residues; 70.5 kDa). If secondary SSC (secSSC) usage is considered, with SSC at 6768bp and STC at 3430bp, the encoded product is identical to the predicted Ad-pol (polymerase) protein (1112 residues; 129.2 kDa). TRXPT_6 differs from TRXPT_7 by containing an extra splice site at 3447-3515bp. However, the CP remains similar to that of TRXPT_7 except the Ad-pol encoded from the secSSC is a truncated isoform with a new STC resulting from the splice site.</w:t>
      </w:r>
    </w:p>
    <w:p>
      <w:pPr>
        <w:pStyle w:val="BodyText"/>
      </w:pPr>
      <w:r>
        <w:t xml:space="preserve">While both TRXPT_6 and TRXPT_7 have the CP for Ad-pol with secSSC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(10,981-7062bp) not found in our RNA-seq data. If initiated from the E2 TSS and terminated at the E2 TTS, this transcript (TRXPT_31) would encode Ad-pol exactly as predicted as its 5’-most CDS (</w:t>
      </w:r>
      <w:r>
        <w:rPr>
          <w:bCs/>
          <w:b/>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Cs/>
          <w:b/>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SSC. This first SSC is 4 codons upstream and in-frame of the predicted IVa2 SSC. Except for the four extra N-terminus residues, the entire protein sequence is identical to the predicted IVa2.</w:t>
      </w:r>
    </w:p>
    <w:p>
      <w:pPr>
        <w:pStyle w:val="BodyText"/>
      </w:pPr>
      <w:r>
        <w:rPr>
          <w:bCs/>
          <w:b/>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(6, 17, 18)</w:t>
      </w:r>
      <w:r>
        <w:t xml:space="preserve">. However, some E3 transcripts use the TSS of the MLP. Due to sharing the same TSS, in MAdVs, secSSC usage is heavily relied on for gene expression in this region except for 12.5K and transcripts using the MLP’s TSS, as utilizing only the first SSC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Cs/>
          <w:b/>
        </w:rPr>
        <w:t xml:space="preserve">Figure 8</w:t>
      </w:r>
      <w:r>
        <w:t xml:space="preserve">). Therefore, we have categorized these two groups together as E3 transcripts.</w:t>
      </w:r>
    </w:p>
    <w:p>
      <w:pPr>
        <w:pStyle w:val="BodyText"/>
      </w:pPr>
      <w:r>
        <w:t xml:space="preserve">We identified seven novel transcripts here (</w:t>
      </w:r>
      <w:r>
        <w:rPr>
          <w:bCs/>
          <w:b/>
        </w:rPr>
        <w:t xml:space="preserve">TRXPT_22, TRXPT_23, TRXPT_24, TRXPT_25, TRXPT_26, TRXPT_27, TRXPT_29</w:t>
      </w:r>
      <w:r>
        <w:t xml:space="preserve">) from our RNA-seq data, all originating from two distinct TSSs – we consider the first TSS (position 18,230bp) as corresponding to the L4P and the other at 18,727bp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20bp of the predicted 33K (including the SSC at 20,142bp) is spliced out as part of the second intron of TRXPT_24. Thus, the bona fide 33K (e33K) is a 19.8 kDa, 171 residue protein spanning four exons instead of the predicted 120 aa protein. TRXPT_24 also has the CP for pVIII and E3 if we consider downstream SSC usage. However, the predicted E3 has an upstream in-frame SSC; thus, this longer version of E3 (eE3) is the genuinely expressed ORF. TRXPT_29 is the shortest transcript in this TU. It is a two-exon transcript, both exons comprising the CDS. The product of TRXPT_29 is a novel 73 residue protein (8.3KI) sharing the SSC of e33K but with a unique STC. TRXPT_23 being spliced identically as TRXPT_29 also encodes 8.3KI from its first SSC. Similarly, TRXPT_22 also encodes a 73 aa novel protein (8.3KII) from its first SSC that shares over 80% similarity with 8.3KI, but it differs from 8.3KI at the C-terminus. Considering downstream SSC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Cs/>
          <w:b/>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Cs/>
          <w:b/>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SSC as 33K (20,142bp). Just as seen for 33K, all the transcripts in this region exclude the first 20bp of 22K (including the SSC)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secSSC usage on this transcript yields the predicted 22K ORF precisely. It also has the CP for pVIII and eE3 in that order. Furthermore, during the validation of TRXPT_25’s splice junction using primers that span its junction (18350-18717bp), we noticed a DNA band that corresponds to the full unspliced sequence (</w:t>
      </w:r>
      <w:r>
        <w:rPr>
          <w:bCs/>
          <w:b/>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 TSS but have distinct TTSs. TRXPT_26 is a three-exon transcript but the first two are UTRs. It encodes pVIII as the 5’-most ORF and has the CP for eE3 and Fiber in that order. TRXPT_27 on the other hand, is only a two-exon transcript but similar to TRXPT_26, only the terminal exon contains the CDSs. It encodes Fiber as the 5’-most ORF, and ORF7 downstream with secSSC usage. TRXPT_13, which is an L4 transcript that uses the MLP TSS is discussed under the MLTU transcripts.</w:t>
      </w:r>
    </w:p>
    <w:p>
      <w:pPr>
        <w:pStyle w:val="BodyText"/>
      </w:pPr>
      <w:r>
        <w:rPr>
          <w:bCs/>
          <w:b/>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Cs/>
          <w:b/>
        </w:rPr>
        <w:t xml:space="preserve">Figure 9</w:t>
      </w:r>
      <w:r>
        <w:t xml:space="preserve">). The transcript (TRXPT_28) spans 25192-26247bp and is spliced at 25701-26055bp, making a two-exon transcript. The second exon fully matches the predicted ORF8 with 12 extra base pairs at the 3’-end. However, there is an SSC in the first exon at position 26246bp (192bp upstream of the predicted SSC). The encoded protein from this SSC is in-frame with the predicted SSC found in the second exon; hence, we consider this protein (eORF8 – 26.4 kDa, 229 aa), a longer isoform of the predicted ORF8, the genuinely expressed ORF with an identical C-terminus to the predicted ORF8 protein.</w:t>
      </w:r>
    </w:p>
    <w:p>
      <w:pPr>
        <w:pStyle w:val="BodyText"/>
      </w:pPr>
      <w:r>
        <w:rPr>
          <w:bCs/>
          <w:b/>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THEV’s coding capacity falls within this TU. Specifically, about 13 out of the 23 predicted ORFs were assigned to this TU, some of which we have categorized under the E3 TU instead. Our RNA-seq data revealed 12 transcripts (</w:t>
      </w:r>
      <w:r>
        <w:rPr>
          <w:bCs/>
          <w:b/>
        </w:rPr>
        <w:t xml:space="preserve">TRXPT_8, TRXPT_9, TRXPT_10, TRXPT_11, TRXPT_12, TRXPT_13, TRXPT_14, TRXPT_16, TRXPT_17, TRXPT_18, TRXPT_19, TRXPT_20</w:t>
      </w:r>
      <w:r>
        <w:t xml:space="preserve">) in this TU, the majority of which have the 5’ untranslated TPL sequence as seen in all AdVs. For three transcripts (</w:t>
      </w:r>
      <w:r>
        <w:rPr>
          <w:bCs/>
          <w:b/>
        </w:rPr>
        <w:t xml:space="preserve">TRXPT_16, TRXPT_17, TRXPT_18</w:t>
      </w:r>
      <w:r>
        <w:t xml:space="preserve">), a different leader sequence (sTPL) is used, which differs from the TPL in only one regard: the first TPL exon is substituted for a different first exon, found between the first and second TPL exons. Also, TRXPT_20 seems to include only the third TPL exon (</w:t>
      </w:r>
      <w:r>
        <w:rPr>
          <w:bCs/>
          <w:b/>
        </w:rPr>
        <w:t xml:space="preserve">Figure 10</w:t>
      </w:r>
      <w:r>
        <w:t xml:space="preserve">).</w:t>
      </w:r>
    </w:p>
    <w:p>
      <w:pPr>
        <w:pStyle w:val="BodyText"/>
      </w:pPr>
      <w:r>
        <w:t xml:space="preserve">We identified five TTSs (10,549bp, 12,709bp, 16,870bp, 17,891bp, 20,865bp)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lacks TRXPT_22’s novel first ORF (8.3KII).</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there is no prior transcriptomic studies for THEV. Our approach to properly handle this complex data was to use standard RNA-seq analysis programs coupled with some custom analysis and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AdVs gene expression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Cs/>
          <w:b/>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Cs/>
          <w:b/>
        </w:rPr>
        <w:t xml:space="preserve">Figure 3b</w:t>
      </w:r>
      <w:r>
        <w:t xml:space="preserve"> </w:t>
      </w:r>
      <w:r>
        <w:t xml:space="preserve">and</w:t>
      </w:r>
      <w:r>
        <w:t xml:space="preserve"> </w:t>
      </w:r>
      <w:r>
        <w:rPr>
          <w:bCs/>
          <w:b/>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w:t>
      </w:r>
      <w:r>
        <w:rPr>
          <w:rStyle w:val="VerbatimChar"/>
        </w:rPr>
        <w:t xml:space="preserve">StringTie</w:t>
      </w:r>
      <w:r>
        <w:t xml:space="preserve">) to distinguish them. In our results, we see transcripts in the same TU initiated or terminated in the same approximate area (10-70bp and 1-300bp apart for TSS and TTS, respectively) but not precisely at the same position. We consider the most upstream TSS or most downstream TTS for the transcripts involved but we present them unchanged in all the figures shown. Also, by comparison to the more well-studies MAdV transcriptomes, we think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as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secSSC usage and ribosome shunting</w:t>
      </w:r>
      <w:r>
        <w:t xml:space="preserve"> </w:t>
      </w:r>
      <w:r>
        <w:t xml:space="preserve">(6, 22)</w:t>
      </w:r>
      <w:r>
        <w:t xml:space="preserve">. Albeit there is no reliable method of predicting how efficiently any given AUG will be used, AdVs use secondary AUGs as initiation codons for most E1b proteins and for some E3 proteins. In fact, recent studies show that secSSC usage is found transcriptome-wide. This is thought to occur because translation initiation at the first SSC is inefficient, allowing downstream SSCs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SSC may be selected</w:t>
      </w:r>
      <w:r>
        <w:t xml:space="preserve"> </w:t>
      </w:r>
      <w:r>
        <w:t xml:space="preserve">(6, 22)</w:t>
      </w:r>
      <w:r>
        <w:t xml:space="preserve">. Almost all the THEV transcripts in our data have the CP for several ORFs, some spanning as many as six ORFs but the majority spanning at least two ORFs. Therefore, we believe our data supports the usage of these special ribosome initiation mechanisms as a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(6, 17, 22, 29)</w:t>
      </w:r>
      <w:r>
        <w:t xml:space="preserve">. The mechanistic details of this phenomenon has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decreased measurably from the onset of the late phase (see</w:t>
      </w:r>
      <w:r>
        <w:t xml:space="preserve"> </w:t>
      </w:r>
      <w:r>
        <w:rPr>
          <w:bCs/>
          <w:b/>
        </w:rPr>
        <w:t xml:space="preserve">Figure 5</w:t>
      </w:r>
      <w:r>
        <w:t xml:space="preserve">). In fact, recent studies of some human AdVs show that virtually unlimited number of combinatorial alternative splicing events resulting in menagerie of novel transcripts are produced in an AdV lytic infection</w:t>
      </w:r>
      <w:r>
        <w:t xml:space="preserve"> </w:t>
      </w:r>
      <w:r>
        <w:t xml:space="preserve">(17, 22)</w:t>
      </w:r>
      <w:r>
        <w:t xml:space="preserve">. It is unlikely that all repertoire of mRNA produced via this mechanism will actually be translated. However, it has been speculated that the plasticity in alternative RNA splicing enables the AdVs to fine-tune protein synthesis by providing different alternatively spliced variants encoding the same protein under changing conditions. And also that the capacity to produce novel exon combinations will offer the virus an evolutionary advantage to change the gene expression repertoire and protein production in a changing environment</w:t>
      </w:r>
      <w:r>
        <w:t xml:space="preserve"> </w:t>
      </w:r>
      <w:r>
        <w:t xml:space="preserve">(17, 22)</w:t>
      </w:r>
      <w:r>
        <w:t xml:space="preserve">.</w:t>
      </w:r>
    </w:p>
    <w:p>
      <w:pPr>
        <w:pStyle w:val="BodyText"/>
      </w:pPr>
      <w:r>
        <w:t xml:space="preserve">Summarizing all the main points above, we see that the THEV transcriptome bares remarkable overall similarity to the better studied MAdVs. The transcriptome organization into five TUs, the overall regulation of early and late genes, and the production of a broad repertoire of transcripts via virtually unlimited alternative splicing. However, the THEV transcriptome appears to be less sophisticated (i.e, encode less genes) than MAdVs primarily because the MAdV genomes are close to twice a long as that of THEV’s, which rationally should encode less genes. The lack of subdivision of the E1 region into E1a and E1b is one of the most obvious examples. Also, the MAdV E4 region encodes several proteins unlike in THEV where only one transcript coding for only one protein was found. The most conspicuous example is found in examining the complexity of the MLTU leader sequences. While the majority of THEV’s MLTU transcripts begin with the TPL (267bp long) just like MAdVs and also utilizes a variant leader sequence (sTPL), it is well established that a significantly more diverse 5’UTRs are employed for MAdV MLTU transcripts, including the TPL (used for majority of transcripts), the so-called x, y, and z leaders, and the i-leader. Granted, the MAdV MLTU transcripts infrequently incorporate the the non-TPL leaders, their absence in our data could mean that the 5’UTR diversity of THEV’s MLTU mRNA are indeed more limited due to its smaller genome size. It is also possible that later studies could uncover more variety not seen our results.</w:t>
      </w:r>
      <w:r>
        <w:t xml:space="preserve"> </w:t>
      </w:r>
    </w:p>
    <w:bookmarkEnd w:id="25"/>
    <w:bookmarkStart w:id="33"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antibiotics solution (100 U/mL Penicillin and 100ug/mL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antibiotics solution (100 U/mL Penicillin and 100ug/mL Streptomycin). A commercially available HE vaccine was purchased from Hygieia Biological Labs as a source of THEV-A (VAS strain). The stock virus was titrated using an in-house qPCR assay with titer expressed as genome copy number (GCN)/mL, similar to Mahshoub</w:t>
      </w:r>
      <w:r>
        <w:t xml:space="preserve"> </w:t>
      </w:r>
      <w:r>
        <w:rPr>
          <w:iCs/>
          <w:i/>
        </w:rPr>
        <w:t xml:space="preserve">et al</w:t>
      </w:r>
      <w:r>
        <w:t xml:space="preserve"> </w:t>
      </w:r>
      <w:r>
        <w:t xml:space="preserve">(30)</w:t>
      </w:r>
      <w:r>
        <w:t xml:space="preserve"> </w:t>
      </w:r>
      <w:r>
        <w:t xml:space="preserve">with modifications. Cells were infected in triplicates at a multiplicity of infection (MOI) of 100 GCN/cell, incubate at 41</w:t>
      </w:r>
      <w:r>
        <w:rPr>
          <w:vertAlign w:val="superscript"/>
        </w:rPr>
        <w:t xml:space="preserve">o</w:t>
      </w:r>
      <w:r>
        <w:t xml:space="preserve">C for 1 hour, and washed three times to get rid of free virion particles. Samples in triplicates were harvested at 4-, 12-, 24-, and 72-h.p.i for total RNA extraction. The infection was repeated but samples in triplicates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Thermofishers’ RNAqueous™-4PCR Total RNA Isolation Kit</w:t>
      </w:r>
      <w:r>
        <w:t xml:space="preserve"> </w:t>
      </w:r>
      <w:r>
        <w:rPr>
          <w:rStyle w:val="VerbatimChar"/>
        </w:rPr>
        <w:t xml:space="preserve">(#AM1914)</w:t>
      </w:r>
      <w:r>
        <w:t xml:space="preserve"> </w:t>
      </w:r>
      <w:r>
        <w:t xml:space="preserve">per manufacturer’s instructions. An agarose gel electrophoresis was performed to check RNA integrity. The RNA quantity and purity was initially assessed using</w:t>
      </w:r>
      <w:r>
        <w:t xml:space="preserve"> </w:t>
      </w:r>
      <w:r>
        <w:rPr>
          <w:rStyle w:val="VerbatimChar"/>
        </w:rPr>
        <w:t xml:space="preserve">nanodrop</w:t>
      </w:r>
      <w:r>
        <w:t xml:space="preserve">, and RNA was used only if the A260/A280 ratio was 2.0 ± 0.05 and the A260/A230 ratio was &gt;2 and &lt;2.2. Extracted total RNA samples were sent to</w:t>
      </w:r>
      <w:r>
        <w:t xml:space="preserve"> </w:t>
      </w:r>
      <w:r>
        <w:rPr>
          <w:rStyle w:val="VerbatimChar"/>
        </w:rPr>
        <w:t xml:space="preserve">LC Sciences, Houston TX</w:t>
      </w:r>
      <w:r>
        <w:t xml:space="preserve"> </w:t>
      </w:r>
      <w:r>
        <w:t xml:space="preserve">for poly-A-tailed mRNA sequencing where RNA integrity was checked with</w:t>
      </w:r>
      <w:r>
        <w:t xml:space="preserve"> </w:t>
      </w:r>
      <w:r>
        <w:rPr>
          <w:rStyle w:val="VerbatimChar"/>
        </w:rPr>
        <w:t xml:space="preserve">Agilent Technologies 2100 Bioanalyzer High Sensitivity DNA Chip</w:t>
      </w:r>
      <w:r>
        <w:t xml:space="preserve"> </w:t>
      </w:r>
      <w:r>
        <w:t xml:space="preserve">and poly(A) RNA-seq library was prepared following</w:t>
      </w:r>
      <w:r>
        <w:t xml:space="preserve"> </w:t>
      </w:r>
      <w:r>
        <w:rPr>
          <w:rStyle w:val="VerbatimChar"/>
        </w:rPr>
        <w:t xml:space="preserve">Illumina's TruSeq-stranded-mRNA sample preparation protocol</w:t>
      </w:r>
      <w:r>
        <w:t xml:space="preserve">. Paired-end sequencing was performed on</w:t>
      </w:r>
      <w:r>
        <w:t xml:space="preserve"> </w:t>
      </w:r>
      <w:r>
        <w:rPr>
          <w:rStyle w:val="VerbatimChar"/>
        </w:rPr>
        <w:t xml:space="preserve">Illumina's NovaSeq 6000 sequencing system</w:t>
      </w:r>
      <w:r>
        <w:t xml:space="preserve">.</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Cs/>
          <w:b/>
        </w:rPr>
        <w:t xml:space="preserve">Supplementary PCR methods</w:t>
      </w:r>
      <w:r>
        <w:t xml:space="preserve">). Briefly, we designed primers that span a range of novel exon-exon boundaries for each specific transcript in a transcription unit (TU). We designed a universal forward or reverse primers for each respective TU and paired them with primers binding specific positions in each transcript. Each forward primer contained a KpnI restriction site and reverse primers, an XbaI site in the primer tails. After first-strand cDNA synthesis of total RNA extracted from THEV infected MDTC-RP19 cells with SuperScript™ IV First-Strand Synthesis System, these primers were used in a targeted PCR amplification, the products analyzed with agarose gel electrophoresis to confirm expected band sizes, cloned by traditional restriction enzyme method, and Sanger sequenced to validate these splice junctions at the sequence level.</w:t>
      </w:r>
    </w:p>
    <w:bookmarkEnd w:id="28"/>
    <w:bookmarkStart w:id="29" w:name="rapid-amplification-of-cdna-ends-3-race"/>
    <w:p>
      <w:pPr>
        <w:pStyle w:val="Heading3"/>
      </w:pPr>
      <w:r>
        <w:t xml:space="preserve">3’ Rapid Amplification of cDNA Ends (3’-RACE)</w:t>
      </w:r>
    </w:p>
    <w:p>
      <w:pPr>
        <w:pStyle w:val="FirstParagraph"/>
      </w:pPr>
      <w:r>
        <w:t xml:space="preserve">We performed a rapid amplification of sequences from the 3’ ends of mRNAs (3’-RACE) experiment using a portion of the extracted total RNA of infected MDTC-RP19 cells used for the RNA-seq experiment as explained above. We followed the protocol described by Green</w:t>
      </w:r>
      <w:r>
        <w:t xml:space="preserve"> </w:t>
      </w:r>
      <w:r>
        <w:rPr>
          <w:iCs/>
          <w:i/>
        </w:rPr>
        <w:t xml:space="preserve">et al</w:t>
      </w:r>
      <w:r>
        <w:t xml:space="preserve"> </w:t>
      </w:r>
      <w:r>
        <w:t xml:space="preserve">(31)</w:t>
      </w:r>
      <w:r>
        <w:t xml:space="preserve"> </w:t>
      </w:r>
      <w:r>
        <w:t xml:space="preserve">with modifications. Briefly, 1ug 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Our sequence reads were analyzed following a well-established protocol described by Pertea</w:t>
      </w:r>
      <w:r>
        <w:t xml:space="preserve"> </w:t>
      </w:r>
      <w:r>
        <w:rPr>
          <w:iCs/>
          <w:i/>
        </w:rPr>
        <w:t xml:space="preserve">et al</w:t>
      </w:r>
      <w:r>
        <w:t xml:space="preserve"> </w:t>
      </w:r>
      <w:r>
        <w:t xml:space="preserve">(25)</w:t>
      </w:r>
      <w:r>
        <w:t xml:space="preserve">, using</w:t>
      </w:r>
      <w:r>
        <w:t xml:space="preserve"> </w:t>
      </w:r>
      <w:r>
        <w:rPr>
          <w:rStyle w:val="VerbatimChar"/>
        </w:rPr>
        <w:t xml:space="preserve">Snakemake - version 7.24.0</w:t>
      </w:r>
      <w:r>
        <w:t xml:space="preserve"> </w:t>
      </w:r>
      <w:r>
        <w:t xml:space="preserve">(32)</w:t>
      </w:r>
      <w:r>
        <w:t xml:space="preserve">, a popular workflow management system to drive the pipeline. Briefly, sequencing reads were trimmed with the</w:t>
      </w:r>
      <w:r>
        <w:t xml:space="preserve"> </w:t>
      </w:r>
      <w:r>
        <w:rPr>
          <w:rStyle w:val="VerbatimChar"/>
        </w:rPr>
        <w:t xml:space="preserve">Trim-galore - version 0.6.6</w:t>
      </w:r>
      <w:r>
        <w:t xml:space="preserve"> </w:t>
      </w:r>
      <w:r>
        <w:t xml:space="preserve">(33)</w:t>
      </w:r>
      <w:r>
        <w:t xml:space="preserve"> </w:t>
      </w:r>
      <w:r>
        <w:t xml:space="preserve">program to achieve an overall</w:t>
      </w:r>
      <w:r>
        <w:t xml:space="preserve"> </w:t>
      </w:r>
      <w:r>
        <w:rPr>
          <w:rStyle w:val="VerbatimChar"/>
        </w:rPr>
        <w:t xml:space="preserve">Mean Sequence Quality (Phred Score)</w:t>
      </w:r>
      <w:r>
        <w:t xml:space="preserve"> </w:t>
      </w:r>
      <w:r>
        <w:t xml:space="preserve">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Cs/>
          <w:i/>
        </w:rPr>
        <w:t xml:space="preserve">Meleagris gallopavo</w:t>
      </w:r>
      <w:r>
        <w:t xml:space="preserve"> </w:t>
      </w:r>
      <w:r>
        <w:t xml:space="preserve">(</w:t>
      </w:r>
      <w:hyperlink r:id="rId31">
        <w:r>
          <w:rPr>
            <w:rStyle w:val="Hyperlink"/>
          </w:rPr>
          <w:t xml:space="preserve">https://www.ncbi.nlm.nih.gov/genome/?term=Meleagris+gallopavo</w:t>
        </w:r>
      </w:hyperlink>
      <w:r>
        <w:t xml:space="preserve">) using</w:t>
      </w:r>
      <w:r>
        <w:t xml:space="preserve"> </w:t>
      </w:r>
      <w:r>
        <w:rPr>
          <w:rStyle w:val="VerbatimChar"/>
        </w:rPr>
        <w:t xml:space="preserve">Hisat2 - version 2.2.1</w:t>
      </w:r>
      <w:r>
        <w:t xml:space="preserve"> </w:t>
      </w:r>
      <w:r>
        <w:t xml:space="preserve">(25)</w:t>
      </w:r>
      <w:r>
        <w:t xml:space="preserve"> </w:t>
      </w:r>
      <w:r>
        <w:t xml:space="preserve">with default settings. The generated alignment (</w:t>
      </w:r>
      <w:r>
        <w:rPr>
          <w:rStyle w:val="VerbatimChar"/>
        </w:rPr>
        <w:t xml:space="preserve">BAM</w:t>
      </w:r>
      <w:r>
        <w:t xml:space="preserve">) files from each infection time point were filtered for reads mapping to the THEV genome using</w:t>
      </w:r>
      <w:r>
        <w:t xml:space="preserve"> </w:t>
      </w:r>
      <w:r>
        <w:rPr>
          <w:rStyle w:val="VerbatimChar"/>
        </w:rPr>
        <w:t xml:space="preserve">Samtools - version 1.16.1</w:t>
      </w:r>
      <w:r>
        <w:t xml:space="preserve"> </w:t>
      </w:r>
      <w:r>
        <w:t xml:space="preserve">and fed into</w:t>
      </w:r>
      <w:r>
        <w:t xml:space="preserve"> </w:t>
      </w:r>
      <w:r>
        <w:rPr>
          <w:rStyle w:val="VerbatimChar"/>
        </w:rPr>
        <w:t xml:space="preserve">StringTie - version 2.2.1</w:t>
      </w:r>
      <w:r>
        <w:t xml:space="preserve"> </w:t>
      </w:r>
      <w:r>
        <w:t xml:space="preserve">(25)</w:t>
      </w:r>
      <w:r>
        <w:t xml:space="preserve"> </w:t>
      </w:r>
      <w:r>
        <w:t xml:space="preserve">to assemble the transcripts, using a</w:t>
      </w:r>
      <w:r>
        <w:t xml:space="preserve"> </w:t>
      </w:r>
      <w:r>
        <w:rPr>
          <w:rStyle w:val="VerbatimChar"/>
        </w:rPr>
        <w:t xml:space="preserve">GTF</w:t>
      </w:r>
      <w:r>
        <w:t xml:space="preserve"> </w:t>
      </w:r>
      <w:r>
        <w:t xml:space="preserve">annotation file derived from a</w:t>
      </w:r>
      <w:r>
        <w:t xml:space="preserve"> </w:t>
      </w:r>
      <w:r>
        <w:rPr>
          <w:rStyle w:val="VerbatimChar"/>
        </w:rPr>
        <w:t xml:space="preserve">GFF3</w:t>
      </w:r>
      <w:r>
        <w:t xml:space="preserve"> </w:t>
      </w:r>
      <w:r>
        <w:t xml:space="preserve">annotation file obtained from NCBI, which contains the predicted ORFs of THEV as a guide.</w:t>
      </w:r>
      <w:r>
        <w:t xml:space="preserve"> </w:t>
      </w:r>
      <w:r>
        <w:rPr>
          <w:rStyle w:val="VerbatimChar"/>
        </w:rPr>
        <w:t xml:space="preserve">GFFCOMPARE - version 0.12.6</w:t>
      </w:r>
      <w:r>
        <w:t xml:space="preserve"> </w:t>
      </w:r>
      <w:r>
        <w:t xml:space="preserve">was used to merge all transcripts from all time points without redundancy and using a custom</w:t>
      </w:r>
      <w:r>
        <w:t xml:space="preserve"> </w:t>
      </w:r>
      <w:r>
        <w:rPr>
          <w:rStyle w:val="VerbatimChar"/>
        </w:rPr>
        <w:t xml:space="preserve">R</w:t>
      </w:r>
      <w:r>
        <w:t xml:space="preserve"> </w:t>
      </w:r>
      <w:r>
        <w:t xml:space="preserve">script, adenovirus transcripts units (regions) were assigned to each transcript, generating the transcriptome of THEV.</w:t>
      </w:r>
      <w:r>
        <w:t xml:space="preserve"> </w:t>
      </w:r>
      <w:r>
        <w:rPr>
          <w:rStyle w:val="VerbatimChar"/>
        </w:rPr>
        <w:t xml:space="preserve">StringTie</w:t>
      </w:r>
      <w:r>
        <w:t xml:space="preserve"> </w:t>
      </w:r>
      <w:r>
        <w:t xml:space="preserve">set to expression estimation mode was used to calculate FPKM scores for all transcripts after which</w:t>
      </w:r>
      <w:r>
        <w:t xml:space="preserve"> </w:t>
      </w:r>
      <w:r>
        <w:rPr>
          <w:rStyle w:val="VerbatimChar"/>
        </w:rPr>
        <w:t xml:space="preserve">Ballgown - version 2.33.0</w:t>
      </w:r>
      <w:r>
        <w:t xml:space="preserve"> </w:t>
      </w:r>
      <w:r>
        <w:t xml:space="preserve">in</w:t>
      </w:r>
      <w:r>
        <w:t xml:space="preserve"> </w:t>
      </w:r>
      <w:r>
        <w:rPr>
          <w:rStyle w:val="VerbatimChar"/>
        </w:rPr>
        <w:t xml:space="preserve">R</w:t>
      </w:r>
      <w:r>
        <w:t xml:space="preserve"> </w:t>
      </w:r>
      <w:r>
        <w:t xml:space="preserve">was used to perform the statistical analysis on the transcript expression levels.</w:t>
      </w:r>
      <w:r>
        <w:t xml:space="preserve"> </w:t>
      </w:r>
      <w:r>
        <w:rPr>
          <w:rStyle w:val="VerbatimChar"/>
        </w:rPr>
        <w:t xml:space="preserve">Samtools</w:t>
      </w:r>
      <w:r>
        <w:t xml:space="preserve"> </w:t>
      </w:r>
      <w:r>
        <w:t xml:space="preserve">was also used to count the total sequencing reads for all replicates at each time point and</w:t>
      </w:r>
      <w:r>
        <w:t xml:space="preserve"> </w:t>
      </w:r>
      <w:r>
        <w:rPr>
          <w:rStyle w:val="VerbatimChar"/>
        </w:rPr>
        <w:t xml:space="preserve">Regtools - version 1.0.0</w:t>
      </w:r>
      <w:r>
        <w:t xml:space="preserve"> </w:t>
      </w:r>
      <w:r>
        <w:t xml:space="preserve">was used to count all junctions, the reads supporting them, and extract all other information related to the junction.</w:t>
      </w:r>
      <w:r>
        <w:t xml:space="preserve"> </w:t>
      </w:r>
      <w:r>
        <w:t xml:space="preserve">See</w:t>
      </w:r>
      <w:r>
        <w:t xml:space="preserve"> </w:t>
      </w:r>
      <w:r>
        <w:rPr>
          <w:bCs/>
          <w:b/>
        </w:rPr>
        <w:t xml:space="preserve">Supplementary Computational Analysis</w:t>
      </w:r>
      <w:r>
        <w:t xml:space="preserve"> </w:t>
      </w:r>
      <w:r>
        <w:t xml:space="preserve">for the details of transcript expression level estimations and splice junction read counts.</w:t>
      </w:r>
      <w:r>
        <w:t xml:space="preserve"> </w:t>
      </w:r>
    </w:p>
    <w:bookmarkEnd w:id="32"/>
    <w:bookmarkEnd w:id="33"/>
    <w:bookmarkStart w:id="35" w:name="supplementary-materials"/>
    <w:p>
      <w:pPr>
        <w:pStyle w:val="Heading2"/>
      </w:pPr>
      <w:r>
        <w:t xml:space="preserve">SUPPLEMENTARY MATERIALS</w:t>
      </w:r>
    </w:p>
    <w:p>
      <w:pPr>
        <w:pStyle w:val="FirstParagraph"/>
      </w:pPr>
      <w:r>
        <w:t xml:space="preserve">File attached separately</w:t>
      </w:r>
    </w:p>
    <w:bookmarkStart w:id="34" w:name="data-availability"/>
    <w:p>
      <w:pPr>
        <w:pStyle w:val="Heading3"/>
      </w:pPr>
      <w:r>
        <w:t xml:space="preserve">DATA AVAILABILITY</w:t>
      </w:r>
    </w:p>
    <w:p>
      <w:pPr>
        <w:pStyle w:val="FirstParagraph"/>
      </w:pPr>
      <w:r>
        <w:t xml:space="preserve">The raw sequence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4"/>
    <w:bookmarkEnd w:id="35"/>
    <w:bookmarkStart w:id="37" w:name="code-availability"/>
    <w:p>
      <w:pPr>
        <w:pStyle w:val="Heading2"/>
      </w:pPr>
      <w:r>
        <w:t xml:space="preserve">CODE AVAILABILITY</w:t>
      </w:r>
    </w:p>
    <w:p>
      <w:pPr>
        <w:pStyle w:val="FirstParagraph"/>
      </w:pPr>
      <w:r>
        <w:t xml:space="preserve">All the code/scripts in the entire analysis pipeline are available on github (</w:t>
      </w:r>
      <w:hyperlink r:id="rId36">
        <w:r>
          <w:rPr>
            <w:rStyle w:val="Hyperlink"/>
          </w:rPr>
          <w:t xml:space="preserve">https://github.com/Abraham-Quaye/thev_transcriptome</w:t>
        </w:r>
      </w:hyperlink>
      <w:r>
        <w:t xml:space="preserve">)</w:t>
      </w:r>
      <w:r>
        <w:t xml:space="preserve"> </w:t>
      </w:r>
    </w:p>
    <w:bookmarkEnd w:id="37"/>
    <w:bookmarkStart w:id="38" w:name="acknowledgments"/>
    <w:p>
      <w:pPr>
        <w:pStyle w:val="Heading2"/>
      </w:pPr>
      <w:r>
        <w:t xml:space="preserve">ACKNOWLEDGMENTS</w:t>
      </w:r>
    </w:p>
    <w:p>
      <w:pPr>
        <w:pStyle w:val="FirstParagraph"/>
      </w:pPr>
      <w:r>
        <w:rPr>
          <w:rStyle w:val="VerbatimChar"/>
        </w:rPr>
        <w:t xml:space="preserve">LC Sciences</w:t>
      </w:r>
      <w:r>
        <w:t xml:space="preserve"> </w:t>
      </w:r>
      <w:r>
        <w:t xml:space="preserve">- RNA sequencing was done here</w:t>
      </w:r>
      <w:r>
        <w:br/>
      </w:r>
      <w:r>
        <w:rPr>
          <w:rStyle w:val="VerbatimChar"/>
        </w:rPr>
        <w:t xml:space="preserve">Eton Bioscience, Inc, San Diego, CA</w:t>
      </w:r>
      <w:r>
        <w:t xml:space="preserve"> </w:t>
      </w:r>
      <w:r>
        <w:t xml:space="preserve">- All Sanger sequencing validations was done here</w:t>
      </w:r>
      <w:r>
        <w:t xml:space="preserve"> </w:t>
      </w:r>
      <w:r>
        <w:rPr>
          <w:rStyle w:val="VerbatimChar"/>
        </w:rPr>
        <w:t xml:space="preserve">BYU high performance computing systems</w:t>
      </w:r>
      <w:r>
        <w:t xml:space="preserve"> </w:t>
      </w:r>
      <w:r>
        <w:t xml:space="preserve">- Memory-intensive analysis were run here.</w:t>
      </w:r>
      <w:r>
        <w:t xml:space="preserve"> </w:t>
      </w:r>
    </w:p>
    <w:bookmarkEnd w:id="38"/>
    <w:bookmarkStart w:id="103" w:name="references"/>
    <w:p>
      <w:pPr>
        <w:pStyle w:val="Heading2"/>
      </w:pPr>
      <w:r>
        <w:t xml:space="preserve">REFERENCES</w:t>
      </w:r>
    </w:p>
    <w:p>
      <w:pPr>
        <w:pStyle w:val="FirstParagraph"/>
      </w:pPr>
    </w:p>
    <w:bookmarkStart w:id="102" w:name="refs"/>
    <w:bookmarkStart w:id="40" w:name="ref-Davison2003"/>
    <w:p>
      <w:pPr>
        <w:pStyle w:val="Bibliography"/>
      </w:pPr>
      <w:r>
        <w:t xml:space="preserve">1.</w:t>
      </w:r>
      <w:r>
        <w:t xml:space="preserve"> </w:t>
      </w:r>
      <w:r>
        <w:t xml:space="preserve">	</w:t>
      </w:r>
      <w:r>
        <w:t xml:space="preserve">Davison A, Benko M, Harrach B. 2003.</w:t>
      </w:r>
      <w:r>
        <w:t xml:space="preserve"> </w:t>
      </w:r>
      <w:hyperlink r:id="rId39">
        <w:r>
          <w:rPr>
            <w:rStyle w:val="Hyperlink"/>
          </w:rPr>
          <w:t xml:space="preserve">Genetic content and evolution of adenoviruses</w:t>
        </w:r>
      </w:hyperlink>
      <w:r>
        <w:t xml:space="preserve">. The Journal of general virology 84:2895–908.</w:t>
      </w:r>
    </w:p>
    <w:bookmarkEnd w:id="40"/>
    <w:bookmarkStart w:id="42" w:name="ref-Harrach2008"/>
    <w:p>
      <w:pPr>
        <w:pStyle w:val="Bibliography"/>
      </w:pPr>
      <w:r>
        <w:t xml:space="preserve">2.</w:t>
      </w:r>
      <w:r>
        <w:t xml:space="preserve"> </w:t>
      </w:r>
      <w:r>
        <w:t xml:space="preserve">	</w:t>
      </w:r>
      <w:r>
        <w:t xml:space="preserve">Harrach B. 2008.</w:t>
      </w:r>
      <w:r>
        <w:t xml:space="preserve"> </w:t>
      </w:r>
      <w:hyperlink r:id="rId41">
        <w:r>
          <w:rPr>
            <w:rStyle w:val="Hyperlink"/>
          </w:rPr>
          <w:t xml:space="preserve">Adenoviruses: General features</w:t>
        </w:r>
      </w:hyperlink>
      <w:r>
        <w:t xml:space="preserve">, p. 1–9.</w:t>
      </w:r>
      <w:r>
        <w:t xml:space="preserve"> </w:t>
      </w:r>
      <w:r>
        <w:rPr>
          <w:iCs/>
          <w:i/>
        </w:rPr>
        <w:t xml:space="preserve">In</w:t>
      </w:r>
      <w:r>
        <w:t xml:space="preserve"> </w:t>
      </w:r>
      <w:r>
        <w:t xml:space="preserve">Mahy, BWJ, Van Regenmortel, MHV (eds.), Encyclopedia of virology (third edition). Book Section. Academic Press, Oxford.</w:t>
      </w:r>
    </w:p>
    <w:bookmarkEnd w:id="42"/>
    <w:bookmarkStart w:id="44" w:name="ref-Upton2003"/>
    <w:p>
      <w:pPr>
        <w:pStyle w:val="Bibliography"/>
      </w:pPr>
      <w:r>
        <w:t xml:space="preserve">3.</w:t>
      </w:r>
      <w:r>
        <w:t xml:space="preserve"> </w:t>
      </w:r>
      <w:r>
        <w:t xml:space="preserve">	</w:t>
      </w:r>
      <w:r>
        <w:t xml:space="preserve">Upton C, Slack S, Hunter AL, Ehlers A, Roper RL. 2003.</w:t>
      </w:r>
      <w:r>
        <w:t xml:space="preserve"> </w:t>
      </w:r>
      <w:hyperlink r:id="rId43">
        <w:r>
          <w:rPr>
            <w:rStyle w:val="Hyperlink"/>
          </w:rPr>
          <w:t xml:space="preserve">Poxvirus orthologous clusters: Toward defining the minimum essential poxvirus genome</w:t>
        </w:r>
      </w:hyperlink>
      <w:r>
        <w:t xml:space="preserve">. Journal of virology 77:7590–7600.</w:t>
      </w:r>
    </w:p>
    <w:bookmarkEnd w:id="44"/>
    <w:bookmarkStart w:id="46" w:name="ref-McGeoch1999"/>
    <w:p>
      <w:pPr>
        <w:pStyle w:val="Bibliography"/>
      </w:pPr>
      <w:r>
        <w:t xml:space="preserve">4.</w:t>
      </w:r>
      <w:r>
        <w:t xml:space="preserve"> </w:t>
      </w:r>
      <w:r>
        <w:t xml:space="preserve">	</w:t>
      </w:r>
      <w:r>
        <w:t xml:space="preserve">McGeoch D, Davison AJ. 1999.</w:t>
      </w:r>
      <w:r>
        <w:t xml:space="preserve"> </w:t>
      </w:r>
      <w:hyperlink r:id="rId45">
        <w:r>
          <w:rPr>
            <w:rStyle w:val="Hyperlink"/>
          </w:rPr>
          <w:t xml:space="preserve">Chapter 17 - the molecular evolutionary history of the herpesviruses</w:t>
        </w:r>
      </w:hyperlink>
      <w:r>
        <w:t xml:space="preserve">, p. 441–465.</w:t>
      </w:r>
      <w:r>
        <w:t xml:space="preserve"> </w:t>
      </w:r>
      <w:r>
        <w:rPr>
          <w:iCs/>
          <w:i/>
        </w:rPr>
        <w:t xml:space="preserve">In</w:t>
      </w:r>
      <w:r>
        <w:t xml:space="preserve"> </w:t>
      </w:r>
      <w:r>
        <w:t xml:space="preserve">Domingo, E, Webster, R, Holland, J (eds.), Origin and evolution of viruses. Book Section. Academic Press, London.</w:t>
      </w:r>
    </w:p>
    <w:bookmarkEnd w:id="46"/>
    <w:bookmarkStart w:id="47"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7"/>
    <w:bookmarkStart w:id="49" w:name="ref-Guimet2016"/>
    <w:p>
      <w:pPr>
        <w:pStyle w:val="Bibliography"/>
      </w:pPr>
      <w:r>
        <w:t xml:space="preserve">6.</w:t>
      </w:r>
      <w:r>
        <w:t xml:space="preserve"> </w:t>
      </w:r>
      <w:r>
        <w:t xml:space="preserve">	</w:t>
      </w:r>
      <w:r>
        <w:t xml:space="preserve">Guimet D, Hearing P. 2016.</w:t>
      </w:r>
      <w:r>
        <w:t xml:space="preserve"> </w:t>
      </w:r>
      <w:hyperlink r:id="rId48">
        <w:r>
          <w:rPr>
            <w:rStyle w:val="Hyperlink"/>
          </w:rPr>
          <w:t xml:space="preserve">3 - adenovirus replication</w:t>
        </w:r>
      </w:hyperlink>
      <w:r>
        <w:t xml:space="preserve">, p. 59–84.</w:t>
      </w:r>
      <w:r>
        <w:t xml:space="preserve"> </w:t>
      </w:r>
      <w:r>
        <w:rPr>
          <w:iCs/>
          <w:i/>
        </w:rPr>
        <w:t xml:space="preserve">In</w:t>
      </w:r>
      <w:r>
        <w:t xml:space="preserve"> </w:t>
      </w:r>
      <w:r>
        <w:t xml:space="preserve">Curiel, DT (ed.), Adenoviral vectors for gene therapy (second edition). Book Section. Academic Press, San Diego.</w:t>
      </w:r>
    </w:p>
    <w:bookmarkEnd w:id="49"/>
    <w:bookmarkStart w:id="51" w:name="ref-Kovács2011"/>
    <w:p>
      <w:pPr>
        <w:pStyle w:val="Bibliography"/>
      </w:pPr>
      <w:r>
        <w:t xml:space="preserve">7.</w:t>
      </w:r>
      <w:r>
        <w:t xml:space="preserve"> </w:t>
      </w:r>
      <w:r>
        <w:t xml:space="preserve">	</w:t>
      </w:r>
      <w:r>
        <w:t xml:space="preserve">Kovács ER, Benkő M. 2011.</w:t>
      </w:r>
      <w:r>
        <w:t xml:space="preserve"> </w:t>
      </w:r>
      <w:hyperlink r:id="rId50">
        <w:r>
          <w:rPr>
            <w:rStyle w:val="Hyperlink"/>
          </w:rPr>
          <w:t xml:space="preserve">Complete sequence of raptor adenovirus 1 confirms the characteristic genome organization of siadenoviruses</w:t>
        </w:r>
      </w:hyperlink>
      <w:r>
        <w:t xml:space="preserve">. Infection, Genetics and Evolution 11:1058–1065.</w:t>
      </w:r>
    </w:p>
    <w:bookmarkEnd w:id="51"/>
    <w:bookmarkStart w:id="53" w:name="ref-Davison2000"/>
    <w:p>
      <w:pPr>
        <w:pStyle w:val="Bibliography"/>
      </w:pPr>
      <w:r>
        <w:t xml:space="preserve">8.</w:t>
      </w:r>
      <w:r>
        <w:t xml:space="preserve"> </w:t>
      </w:r>
      <w:r>
        <w:t xml:space="preserve">	</w:t>
      </w:r>
      <w:r>
        <w:t xml:space="preserve">Davison AJ, Wright KM, Harrach B. 2000.</w:t>
      </w:r>
      <w:r>
        <w:t xml:space="preserve"> </w:t>
      </w:r>
      <w:hyperlink r:id="rId52">
        <w:r>
          <w:rPr>
            <w:rStyle w:val="Hyperlink"/>
          </w:rPr>
          <w:t xml:space="preserve">DNA sequence of frog adenovirus</w:t>
        </w:r>
      </w:hyperlink>
      <w:r>
        <w:t xml:space="preserve">. J Gen Virol 81:2431–2439.</w:t>
      </w:r>
    </w:p>
    <w:bookmarkEnd w:id="53"/>
    <w:bookmarkStart w:id="55" w:name="ref-Kovács2010"/>
    <w:p>
      <w:pPr>
        <w:pStyle w:val="Bibliography"/>
      </w:pPr>
      <w:r>
        <w:t xml:space="preserve">9.</w:t>
      </w:r>
      <w:r>
        <w:t xml:space="preserve"> </w:t>
      </w:r>
      <w:r>
        <w:t xml:space="preserve">	</w:t>
      </w:r>
      <w:r>
        <w:t xml:space="preserve">Kovács ER, Jánoska M, Dán Á, Harrach B, Benkő M. 2010.</w:t>
      </w:r>
      <w:r>
        <w:t xml:space="preserve"> </w:t>
      </w:r>
      <w:hyperlink r:id="rId54">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5"/>
    <w:bookmarkStart w:id="57" w:name="ref-Katoh2009"/>
    <w:p>
      <w:pPr>
        <w:pStyle w:val="Bibliography"/>
      </w:pPr>
      <w:r>
        <w:t xml:space="preserve">10.</w:t>
      </w:r>
      <w:r>
        <w:t xml:space="preserve"> </w:t>
      </w:r>
      <w:r>
        <w:t xml:space="preserve">	</w:t>
      </w:r>
      <w:r>
        <w:t xml:space="preserve">Katoh H, Ohya K, Kubo M, Murata K, Yanai T, Fukushi H. 2009.</w:t>
      </w:r>
      <w:r>
        <w:t xml:space="preserve"> </w:t>
      </w:r>
      <w:hyperlink r:id="rId56">
        <w:r>
          <w:rPr>
            <w:rStyle w:val="Hyperlink"/>
          </w:rPr>
          <w:t xml:space="preserve">A novel budgerigar-adenovirus belonging to group II avian adenovirus of siadenovirus</w:t>
        </w:r>
      </w:hyperlink>
      <w:r>
        <w:t xml:space="preserve">. Virus Research 144:294–297.</w:t>
      </w:r>
    </w:p>
    <w:bookmarkEnd w:id="57"/>
    <w:bookmarkStart w:id="59" w:name="ref-Beach2006"/>
    <w:p>
      <w:pPr>
        <w:pStyle w:val="Bibliography"/>
      </w:pPr>
      <w:r>
        <w:t xml:space="preserve">11.</w:t>
      </w:r>
      <w:r>
        <w:t xml:space="preserve"> </w:t>
      </w:r>
      <w:r>
        <w:t xml:space="preserve">	</w:t>
      </w:r>
      <w:r>
        <w:t xml:space="preserve">Beach NM. 2006.</w:t>
      </w:r>
      <w:r>
        <w:t xml:space="preserve"> </w:t>
      </w:r>
      <w:hyperlink r:id="rId58">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9"/>
    <w:bookmarkStart w:id="61"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60">
        <w:r>
          <w:rPr>
            <w:rStyle w:val="Hyperlink"/>
          </w:rPr>
          <w:t xml:space="preserve">Comparison of 12 turkey hemorrhagic enteritis virus isolates allows prediction of genetic factors affecting virulence</w:t>
        </w:r>
      </w:hyperlink>
      <w:r>
        <w:t xml:space="preserve">. J Gen Virol 90:1978–85.</w:t>
      </w:r>
    </w:p>
    <w:bookmarkEnd w:id="61"/>
    <w:bookmarkStart w:id="62" w:name="ref-Gross1967"/>
    <w:p>
      <w:pPr>
        <w:pStyle w:val="Bibliography"/>
      </w:pPr>
      <w:r>
        <w:t xml:space="preserve">13.</w:t>
      </w:r>
      <w:r>
        <w:t xml:space="preserve"> </w:t>
      </w:r>
      <w:r>
        <w:t xml:space="preserve">	</w:t>
      </w:r>
      <w:r>
        <w:t xml:space="preserve">Gross WB, Moore WE. 1967. Hemorrhagic enteritis of turkeys. Avian Dis 11:296–307.</w:t>
      </w:r>
    </w:p>
    <w:bookmarkEnd w:id="62"/>
    <w:bookmarkStart w:id="64" w:name="ref-Rautenschlein2000"/>
    <w:p>
      <w:pPr>
        <w:pStyle w:val="Bibliography"/>
      </w:pPr>
      <w:r>
        <w:t xml:space="preserve">14.</w:t>
      </w:r>
      <w:r>
        <w:t xml:space="preserve"> </w:t>
      </w:r>
      <w:r>
        <w:t xml:space="preserve">	</w:t>
      </w:r>
      <w:r>
        <w:t xml:space="preserve">Rautenschlein S, Sharma JM. 2000.</w:t>
      </w:r>
      <w:r>
        <w:t xml:space="preserve"> </w:t>
      </w:r>
      <w:hyperlink r:id="rId63">
        <w:r>
          <w:rPr>
            <w:rStyle w:val="Hyperlink"/>
          </w:rPr>
          <w:t xml:space="preserve">Immunopathogenesis of haemorrhagic enteritis virus (HEV) in turkeys</w:t>
        </w:r>
      </w:hyperlink>
      <w:r>
        <w:t xml:space="preserve">. Dev Comp Immunol 24:237–46.</w:t>
      </w:r>
    </w:p>
    <w:bookmarkEnd w:id="64"/>
    <w:bookmarkStart w:id="65"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5"/>
    <w:bookmarkStart w:id="67"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6">
        <w:r>
          <w:rPr>
            <w:rStyle w:val="Hyperlink"/>
          </w:rPr>
          <w:t xml:space="preserve">Haemorrhagic enteritis of turkeys – current knowledge</w:t>
        </w:r>
      </w:hyperlink>
      <w:r>
        <w:t xml:space="preserve">. Veterinary Quarterly 37:31–42.</w:t>
      </w:r>
    </w:p>
    <w:bookmarkEnd w:id="67"/>
    <w:bookmarkStart w:id="69"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8">
        <w:r>
          <w:rPr>
            <w:rStyle w:val="Hyperlink"/>
          </w:rPr>
          <w:t xml:space="preserve">Deep splicing plasticity of the human adenovirus type 5 transcriptome drives virus evolution</w:t>
        </w:r>
      </w:hyperlink>
      <w:r>
        <w:t xml:space="preserve">. Communications Biology 3:124.</w:t>
      </w:r>
    </w:p>
    <w:bookmarkEnd w:id="69"/>
    <w:bookmarkStart w:id="71" w:name="ref-Zhao2014"/>
    <w:p>
      <w:pPr>
        <w:pStyle w:val="Bibliography"/>
      </w:pPr>
      <w:r>
        <w:t xml:space="preserve">18.</w:t>
      </w:r>
      <w:r>
        <w:t xml:space="preserve"> </w:t>
      </w:r>
      <w:r>
        <w:t xml:space="preserve">	</w:t>
      </w:r>
      <w:r>
        <w:t xml:space="preserve">Zhao H, Chen M, Pettersson U. 2014.</w:t>
      </w:r>
      <w:r>
        <w:t xml:space="preserve"> </w:t>
      </w:r>
      <w:hyperlink r:id="rId70">
        <w:r>
          <w:rPr>
            <w:rStyle w:val="Hyperlink"/>
          </w:rPr>
          <w:t xml:space="preserve">A new look at adenovirus splicing</w:t>
        </w:r>
      </w:hyperlink>
      <w:r>
        <w:t xml:space="preserve">. Virology 456-457:329–341.</w:t>
      </w:r>
    </w:p>
    <w:bookmarkEnd w:id="71"/>
    <w:bookmarkStart w:id="73" w:name="ref-Wolfrum2013"/>
    <w:p>
      <w:pPr>
        <w:pStyle w:val="Bibliography"/>
      </w:pPr>
      <w:r>
        <w:t xml:space="preserve">19.</w:t>
      </w:r>
      <w:r>
        <w:t xml:space="preserve"> </w:t>
      </w:r>
      <w:r>
        <w:t xml:space="preserve">	</w:t>
      </w:r>
      <w:r>
        <w:t xml:space="preserve">Wolfrum N, Greber UF. 2013.</w:t>
      </w:r>
      <w:r>
        <w:t xml:space="preserve"> </w:t>
      </w:r>
      <w:hyperlink r:id="rId72">
        <w:r>
          <w:rPr>
            <w:rStyle w:val="Hyperlink"/>
          </w:rPr>
          <w:t xml:space="preserve">Adenovirus signalling in entry</w:t>
        </w:r>
      </w:hyperlink>
      <w:r>
        <w:t xml:space="preserve">. Cell Microbiol 15:53–62.</w:t>
      </w:r>
    </w:p>
    <w:bookmarkEnd w:id="73"/>
    <w:bookmarkStart w:id="75" w:name="ref-Falvey1983"/>
    <w:p>
      <w:pPr>
        <w:pStyle w:val="Bibliography"/>
      </w:pPr>
      <w:r>
        <w:t xml:space="preserve">20.</w:t>
      </w:r>
      <w:r>
        <w:t xml:space="preserve"> </w:t>
      </w:r>
      <w:r>
        <w:t xml:space="preserve">	</w:t>
      </w:r>
      <w:r>
        <w:t xml:space="preserve">Falvey E, Ziff E. 1983.</w:t>
      </w:r>
      <w:r>
        <w:t xml:space="preserve"> </w:t>
      </w:r>
      <w:hyperlink r:id="rId74">
        <w:r>
          <w:rPr>
            <w:rStyle w:val="Hyperlink"/>
          </w:rPr>
          <w:t xml:space="preserve">Sequence arrangement and protein coding capacity of the adenovirus type 2 "i" leader</w:t>
        </w:r>
      </w:hyperlink>
      <w:r>
        <w:t xml:space="preserve">. Journal of Virology 45:185–191.</w:t>
      </w:r>
    </w:p>
    <w:bookmarkEnd w:id="75"/>
    <w:bookmarkStart w:id="77" w:name="ref-Morris2010"/>
    <w:p>
      <w:pPr>
        <w:pStyle w:val="Bibliography"/>
      </w:pPr>
      <w:r>
        <w:t xml:space="preserve">21.</w:t>
      </w:r>
      <w:r>
        <w:t xml:space="preserve"> </w:t>
      </w:r>
      <w:r>
        <w:t xml:space="preserve">	</w:t>
      </w:r>
      <w:r>
        <w:t xml:space="preserve">Morris SJ, Scott GE, Leppard KN. 2010.</w:t>
      </w:r>
      <w:r>
        <w:t xml:space="preserve"> </w:t>
      </w:r>
      <w:hyperlink r:id="rId76">
        <w:r>
          <w:rPr>
            <w:rStyle w:val="Hyperlink"/>
          </w:rPr>
          <w:t xml:space="preserve">Adenovirus late-phase infection is controlled by a novel L4 promoter</w:t>
        </w:r>
      </w:hyperlink>
      <w:r>
        <w:t xml:space="preserve">. Journal of Virology 84:7096–7104.</w:t>
      </w:r>
    </w:p>
    <w:bookmarkEnd w:id="77"/>
    <w:bookmarkStart w:id="79"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8">
        <w:r>
          <w:rPr>
            <w:rStyle w:val="Hyperlink"/>
          </w:rPr>
          <w:t xml:space="preserve">The human adenovirus 2 transcriptome: An amazing complexity of alternatively spliced mRNAs</w:t>
        </w:r>
      </w:hyperlink>
      <w:r>
        <w:t xml:space="preserve">. Journal of Virology 95.</w:t>
      </w:r>
    </w:p>
    <w:bookmarkEnd w:id="79"/>
    <w:bookmarkStart w:id="81"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80">
        <w:r>
          <w:rPr>
            <w:rStyle w:val="Hyperlink"/>
          </w:rPr>
          <w:t xml:space="preserve">Landscape of transcription in human cells</w:t>
        </w:r>
      </w:hyperlink>
      <w:r>
        <w:t xml:space="preserve">. Nature 489:101–108.</w:t>
      </w:r>
    </w:p>
    <w:bookmarkEnd w:id="81"/>
    <w:bookmarkStart w:id="83" w:name="ref-Aboezz2019"/>
    <w:p>
      <w:pPr>
        <w:pStyle w:val="Bibliography"/>
      </w:pPr>
      <w:r>
        <w:t xml:space="preserve">24.</w:t>
      </w:r>
      <w:r>
        <w:t xml:space="preserve"> </w:t>
      </w:r>
      <w:r>
        <w:t xml:space="preserve">	</w:t>
      </w:r>
      <w:r>
        <w:t xml:space="preserve">Aboezz Z, Mahsoub H, El-Bagoury G, Pierson F. 2019.</w:t>
      </w:r>
      <w:r>
        <w:t xml:space="preserve"> </w:t>
      </w:r>
      <w:hyperlink r:id="rId82">
        <w:r>
          <w:rPr>
            <w:rStyle w:val="Hyperlink"/>
          </w:rPr>
          <w:t xml:space="preserve">In vitro growth kinetics and gene expression analysis of the turkey adenovirus 3, a siadenovirus</w:t>
        </w:r>
      </w:hyperlink>
      <w:r>
        <w:t xml:space="preserve">. Virus Research 263:47–54.</w:t>
      </w:r>
    </w:p>
    <w:bookmarkEnd w:id="83"/>
    <w:bookmarkStart w:id="85" w:name="ref-Pertea2016"/>
    <w:p>
      <w:pPr>
        <w:pStyle w:val="Bibliography"/>
      </w:pPr>
      <w:r>
        <w:t xml:space="preserve">25.</w:t>
      </w:r>
      <w:r>
        <w:t xml:space="preserve"> </w:t>
      </w:r>
      <w:r>
        <w:t xml:space="preserve">	</w:t>
      </w:r>
      <w:r>
        <w:t xml:space="preserve">Pertea M, Kim D, Pertea GM, Leek JT, Salzberg SL. 2016.</w:t>
      </w:r>
      <w:r>
        <w:t xml:space="preserve"> </w:t>
      </w:r>
      <w:hyperlink r:id="rId84">
        <w:r>
          <w:rPr>
            <w:rStyle w:val="Hyperlink"/>
          </w:rPr>
          <w:t xml:space="preserve">Transcript-level expression analysis of RNA-seq experiments with HISAT, StringTie and ballgown</w:t>
        </w:r>
      </w:hyperlink>
      <w:r>
        <w:t xml:space="preserve">. Nature Protocols 11:1650–1667.</w:t>
      </w:r>
    </w:p>
    <w:bookmarkEnd w:id="85"/>
    <w:bookmarkStart w:id="87"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6">
        <w:r>
          <w:rPr>
            <w:rStyle w:val="Hyperlink"/>
          </w:rPr>
          <w:t xml:space="preserve">Ballgown</w:t>
        </w:r>
      </w:hyperlink>
      <w:r>
        <w:t xml:space="preserve">. Bioconductor.</w:t>
      </w:r>
    </w:p>
    <w:bookmarkEnd w:id="87"/>
    <w:bookmarkStart w:id="89"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8">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9"/>
    <w:bookmarkStart w:id="91" w:name="ref-Yueh1996"/>
    <w:p>
      <w:pPr>
        <w:pStyle w:val="Bibliography"/>
      </w:pPr>
      <w:r>
        <w:t xml:space="preserve">28.</w:t>
      </w:r>
      <w:r>
        <w:t xml:space="preserve"> </w:t>
      </w:r>
      <w:r>
        <w:t xml:space="preserve">	</w:t>
      </w:r>
      <w:r>
        <w:t xml:space="preserve">Yueh A, Schneider RJ. 1996.</w:t>
      </w:r>
      <w:r>
        <w:t xml:space="preserve"> </w:t>
      </w:r>
      <w:hyperlink r:id="rId90">
        <w:r>
          <w:rPr>
            <w:rStyle w:val="Hyperlink"/>
          </w:rPr>
          <w:t xml:space="preserve">Selective translation initiation by ribosome jumping in adenovirus-infected and heat-shocked cells.</w:t>
        </w:r>
      </w:hyperlink>
      <w:r>
        <w:t xml:space="preserve"> Genes &amp;amp; Development 10:1557–1567.</w:t>
      </w:r>
    </w:p>
    <w:bookmarkEnd w:id="91"/>
    <w:bookmarkStart w:id="93" w:name="ref-Akusjarvi2008"/>
    <w:p>
      <w:pPr>
        <w:pStyle w:val="Bibliography"/>
      </w:pPr>
      <w:r>
        <w:t xml:space="preserve">29.</w:t>
      </w:r>
      <w:r>
        <w:t xml:space="preserve"> </w:t>
      </w:r>
      <w:r>
        <w:t xml:space="preserve">	</w:t>
      </w:r>
      <w:r>
        <w:t xml:space="preserve">Akusjarvi G. 2008.</w:t>
      </w:r>
      <w:r>
        <w:t xml:space="preserve"> </w:t>
      </w:r>
      <w:hyperlink r:id="rId92">
        <w:r>
          <w:rPr>
            <w:rStyle w:val="Hyperlink"/>
          </w:rPr>
          <w:t xml:space="preserve">Temporal regulation of adenovirus major late alternative RNA splicing</w:t>
        </w:r>
      </w:hyperlink>
      <w:r>
        <w:t xml:space="preserve">. Frontiers in Bioscience Volume:5006.</w:t>
      </w:r>
    </w:p>
    <w:bookmarkEnd w:id="93"/>
    <w:bookmarkStart w:id="95"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4">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5"/>
    <w:bookmarkStart w:id="97" w:name="ref-Green2019"/>
    <w:p>
      <w:pPr>
        <w:pStyle w:val="Bibliography"/>
      </w:pPr>
      <w:r>
        <w:t xml:space="preserve">31.</w:t>
      </w:r>
      <w:r>
        <w:t xml:space="preserve"> </w:t>
      </w:r>
      <w:r>
        <w:t xml:space="preserve">	</w:t>
      </w:r>
      <w:r>
        <w:t xml:space="preserve">Green MR, Sambrook J. 2019.</w:t>
      </w:r>
      <w:r>
        <w:t xml:space="preserve"> </w:t>
      </w:r>
      <w:hyperlink r:id="rId96">
        <w:r>
          <w:rPr>
            <w:rStyle w:val="Hyperlink"/>
          </w:rPr>
          <w:t xml:space="preserve">Rapid amplification of sequences from the 3’ ends of mRNAs: 3’-RACE</w:t>
        </w:r>
      </w:hyperlink>
      <w:r>
        <w:t xml:space="preserve">. Cold Spring Harbor Protocols 2019:pdb.prot095216.</w:t>
      </w:r>
    </w:p>
    <w:bookmarkEnd w:id="97"/>
    <w:bookmarkStart w:id="99"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8">
        <w:r>
          <w:rPr>
            <w:rStyle w:val="Hyperlink"/>
          </w:rPr>
          <w:t xml:space="preserve">Sustainable data analysis with snakemake</w:t>
        </w:r>
      </w:hyperlink>
      <w:r>
        <w:t xml:space="preserve">. F1000Research 10:33.</w:t>
      </w:r>
    </w:p>
    <w:bookmarkEnd w:id="99"/>
    <w:bookmarkStart w:id="101"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100">
        <w:r>
          <w:rPr>
            <w:rStyle w:val="Hyperlink"/>
          </w:rPr>
          <w:t xml:space="preserve">FelixKrueger/TrimGalore: v0.6.10 - add default decompression path</w:t>
        </w:r>
      </w:hyperlink>
      <w:r>
        <w:t xml:space="preserve">. Zenodo.</w:t>
      </w:r>
    </w:p>
    <w:bookmarkEnd w:id="101"/>
    <w:bookmarkEnd w:id="102"/>
    <w:bookmarkEnd w:id="103"/>
    <w:bookmarkStart w:id="134" w:name="tables-and-figures"/>
    <w:p>
      <w:pPr>
        <w:pStyle w:val="Heading2"/>
      </w:pPr>
      <w:r>
        <w:t xml:space="preserve">TABLES AND FIGURES</w:t>
      </w:r>
    </w:p>
    <w:p>
      <w:pPr>
        <w:pStyle w:val="FirstParagraph"/>
      </w:pPr>
      <w:r>
        <w:drawing>
          <wp:inline>
            <wp:extent cx="5943600" cy="3467099"/>
            <wp:effectExtent b="0" l="0" r="0" t="0"/>
            <wp:docPr descr="" title="" id="105" name="Picture"/>
            <a:graphic>
              <a:graphicData uri="http://schemas.openxmlformats.org/drawingml/2006/picture">
                <pic:pic>
                  <pic:nvPicPr>
                    <pic:cNvPr descr="results/r/figures/thev_orf_map.png" id="106" name="Picture"/>
                    <pic:cNvPicPr>
                      <a:picLocks noChangeArrowheads="1" noChangeAspect="1"/>
                    </pic:cNvPicPr>
                  </pic:nvPicPr>
                  <pic:blipFill>
                    <a:blip r:embed="rId104"/>
                    <a:stretch>
                      <a:fillRect/>
                    </a:stretch>
                  </pic:blipFill>
                  <pic:spPr bwMode="auto">
                    <a:xfrm>
                      <a:off x="0" y="0"/>
                      <a:ext cx="5943600" cy="3467099"/>
                    </a:xfrm>
                    <a:prstGeom prst="rect">
                      <a:avLst/>
                    </a:prstGeom>
                    <a:noFill/>
                    <a:ln w="9525">
                      <a:noFill/>
                      <a:headEnd/>
                      <a:tailEnd/>
                    </a:ln>
                  </pic:spPr>
                </pic:pic>
              </a:graphicData>
            </a:graphic>
          </wp:inline>
        </w:drawing>
      </w:r>
      <w:r>
        <w:br/>
      </w:r>
      <w:r>
        <w:rPr>
          <w:bCs/>
          <w:b/>
        </w:rPr>
        <w:t xml:space="preserve">Figure 1.</w:t>
      </w:r>
      <w:r>
        <w:rPr>
          <w:bCs/>
          <w:b/>
        </w:rPr>
        <w:t xml:space="preserve"> </w:t>
      </w:r>
      <w:r>
        <w:rPr>
          <w:iCs/>
          <w:i/>
          <w:bCs/>
          <w:b/>
        </w:rPr>
        <w:t xml:space="preserve">Predicted ORF map of THEV avirulent strain</w:t>
      </w:r>
      <w:r>
        <w:t xml:space="preserve">. The central horizontal line represents the double-stranded DNA marked at 5kb intervals as white line breaks. Blocks represent viral genes. Blocks above the DNA line are transcribed rightward, those below are transcribed leftward. pTP, DBP and 33K predicted to be spliced are shown as having tails.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Gene colored in light green is conserved in all but Atadenoviruses. The UXP (light blue) is an incomplete gene present in almost all AdVs. Regions comprising the different transcription units are labelled at the bottom (E1, E2A, E2B, E3, E4, and IM); the unlabeled regions comprise the MLTU.</w:t>
      </w:r>
    </w:p>
    <w:p>
      <w:pPr>
        <w:pStyle w:val="BodyText"/>
      </w:pPr>
      <w:r>
        <w:drawing>
          <wp:inline>
            <wp:extent cx="5943600" cy="6792685"/>
            <wp:effectExtent b="0" l="0" r="0" t="0"/>
            <wp:docPr descr="" title="" id="108" name="Picture"/>
            <a:graphic>
              <a:graphicData uri="http://schemas.openxmlformats.org/drawingml/2006/picture">
                <pic:pic>
                  <pic:nvPicPr>
                    <pic:cNvPr descr="results/r/figures/fig_2.png" id="109" name="Picture"/>
                    <pic:cNvPicPr>
                      <a:picLocks noChangeArrowheads="1" noChangeAspect="1"/>
                    </pic:cNvPicPr>
                  </pic:nvPicPr>
                  <pic:blipFill>
                    <a:blip r:embed="rId107"/>
                    <a:stretch>
                      <a:fillRect/>
                    </a:stretch>
                  </pic:blipFill>
                  <pic:spPr bwMode="auto">
                    <a:xfrm>
                      <a:off x="0" y="0"/>
                      <a:ext cx="5943600" cy="6792685"/>
                    </a:xfrm>
                    <a:prstGeom prst="rect">
                      <a:avLst/>
                    </a:prstGeom>
                    <a:noFill/>
                    <a:ln w="9525">
                      <a:noFill/>
                      <a:headEnd/>
                      <a:tailEnd/>
                    </a:ln>
                  </pic:spPr>
                </pic:pic>
              </a:graphicData>
            </a:graphic>
          </wp:inline>
        </w:drawing>
      </w:r>
      <w:r>
        <w:br/>
      </w:r>
      <w:r>
        <w:rPr>
          <w:bCs/>
          <w:b/>
        </w:rPr>
        <w:t xml:space="preserve">Figure 2: Increasing levels of THEV over time. a)</w:t>
      </w:r>
      <w:r>
        <w:rPr>
          <w:bCs/>
          <w:b/>
        </w:rPr>
        <w:t xml:space="preserve"> </w:t>
      </w:r>
      <w:r>
        <w:rPr>
          <w:iCs/>
          <w:i/>
          <w:bCs/>
          <w:b/>
        </w:rPr>
        <w:t xml:space="preserve">Per base coverage of sequence reads mapping to THEV genome by time point</w:t>
      </w:r>
      <w:r>
        <w:t xml:space="preserve">. The pileup of mRNA reads mapping to THEV genome at the base-pair level for each indicated time point.</w:t>
      </w:r>
      <w:r>
        <w:t xml:space="preserve"> </w:t>
      </w:r>
      <w:r>
        <w:rPr>
          <w:bCs/>
          <w:b/>
        </w:rPr>
        <w:t xml:space="preserve">b)</w:t>
      </w:r>
      <w:r>
        <w:rPr>
          <w:bCs/>
          <w:b/>
        </w:rPr>
        <w:t xml:space="preserve"> </w:t>
      </w:r>
      <w:r>
        <w:rPr>
          <w:iCs/>
          <w:i/>
          <w:bCs/>
          <w:b/>
        </w:rPr>
        <w:t xml:space="preserve">Growth curve of THEV (VAS vaccine strain) in MDTC-RP19 cell line</w:t>
      </w:r>
      <w:r>
        <w:t xml:space="preserve">. Virus titers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BodyText"/>
      </w:pPr>
      <w:r>
        <w:drawing>
          <wp:inline>
            <wp:extent cx="5943600" cy="9906000"/>
            <wp:effectExtent b="0" l="0" r="0" t="0"/>
            <wp:docPr descr="" title="" id="111" name="Picture"/>
            <a:graphic>
              <a:graphicData uri="http://schemas.openxmlformats.org/drawingml/2006/picture">
                <pic:pic>
                  <pic:nvPicPr>
                    <pic:cNvPr descr="results/r/figures/figure3.png" id="112" name="Picture"/>
                    <pic:cNvPicPr>
                      <a:picLocks noChangeArrowheads="1" noChangeAspect="1"/>
                    </pic:cNvPicPr>
                  </pic:nvPicPr>
                  <pic:blipFill>
                    <a:blip r:embed="rId110"/>
                    <a:stretch>
                      <a:fillRect/>
                    </a:stretch>
                  </pic:blipFill>
                  <pic:spPr bwMode="auto">
                    <a:xfrm>
                      <a:off x="0" y="0"/>
                      <a:ext cx="5943600" cy="9906000"/>
                    </a:xfrm>
                    <a:prstGeom prst="rect">
                      <a:avLst/>
                    </a:prstGeom>
                    <a:noFill/>
                    <a:ln w="9525">
                      <a:noFill/>
                      <a:headEnd/>
                      <a:tailEnd/>
                    </a:ln>
                  </pic:spPr>
                </pic:pic>
              </a:graphicData>
            </a:graphic>
          </wp:inline>
        </w:drawing>
      </w:r>
      <w:r>
        <w:br/>
      </w:r>
      <w:r>
        <w:rPr>
          <w:bCs/>
          <w:b/>
        </w:rPr>
        <w:t xml:space="preserve">Figure 3. a) Transcriptome of THEV from RNA-seq</w:t>
      </w:r>
      <w:r>
        <w:t xml:space="preserve">. THEV transcripts assembled from all time points by</w:t>
      </w:r>
      <w:r>
        <w:t xml:space="preserve"> </w:t>
      </w:r>
      <w:r>
        <w:rPr>
          <w:rStyle w:val="VerbatimChar"/>
        </w:rPr>
        <w:t xml:space="preserve">StringTie</w:t>
      </w:r>
      <w:r>
        <w:t xml:space="preserve"> </w:t>
      </w:r>
      <w:r>
        <w:t xml:space="preserve">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Cs/>
          <w:b/>
        </w:rPr>
        <w:t xml:space="preserve">b) THEV transcripts identified at given time points</w:t>
      </w:r>
      <w:r>
        <w:t xml:space="preserve">. Transcripts are color coded as explained in</w:t>
      </w:r>
      <w:r>
        <w:t xml:space="preserve"> </w:t>
      </w:r>
      <w:r>
        <w:rPr>
          <w:bCs/>
          <w:b/>
        </w:rPr>
        <w:t xml:space="preserve">(a)</w:t>
      </w:r>
      <w:r>
        <w:t xml:space="preserve">.</w:t>
      </w:r>
    </w:p>
    <w:p>
      <w:pPr>
        <w:pStyle w:val="BodyText"/>
      </w:pPr>
      <w:r>
        <w:drawing>
          <wp:inline>
            <wp:extent cx="5943600" cy="3962399"/>
            <wp:effectExtent b="0" l="0" r="0" t="0"/>
            <wp:docPr descr="" title="" id="114" name="Picture"/>
            <a:graphic>
              <a:graphicData uri="http://schemas.openxmlformats.org/drawingml/2006/picture">
                <pic:pic>
                  <pic:nvPicPr>
                    <pic:cNvPr descr="results/r/figures/figure_4a_d.png" id="115" name="Picture"/>
                    <pic:cNvPicPr>
                      <a:picLocks noChangeArrowheads="1" noChangeAspect="1"/>
                    </pic:cNvPicPr>
                  </pic:nvPicPr>
                  <pic:blipFill>
                    <a:blip r:embed="rId113"/>
                    <a:stretch>
                      <a:fillRect/>
                    </a:stretch>
                  </pic:blipFill>
                  <pic:spPr bwMode="auto">
                    <a:xfrm>
                      <a:off x="0" y="0"/>
                      <a:ext cx="5943600" cy="3962399"/>
                    </a:xfrm>
                    <a:prstGeom prst="rect">
                      <a:avLst/>
                    </a:prstGeom>
                    <a:noFill/>
                    <a:ln w="9525">
                      <a:noFill/>
                      <a:headEnd/>
                      <a:tailEnd/>
                    </a:ln>
                  </pic:spPr>
                </pic:pic>
              </a:graphicData>
            </a:graphic>
          </wp:inline>
        </w:drawing>
      </w:r>
      <w:r>
        <w:br/>
      </w:r>
      <w:r>
        <w:rPr>
          <w:bCs/>
          <w:b/>
        </w:rPr>
        <w:t xml:space="preserve">Figure 4: Changes in splicing and expression profile of THEV over time.</w:t>
      </w:r>
      <w:r>
        <w:t xml:space="preserve"> </w:t>
      </w:r>
      <w:r>
        <w:rPr>
          <w:bCs/>
          <w:b/>
        </w:rPr>
        <w:t xml:space="preserve">a)</w:t>
      </w:r>
      <w:r>
        <w:t xml:space="preserve"> </w:t>
      </w:r>
      <w:r>
        <w:rPr>
          <w:iCs/>
          <w:i/>
        </w:rPr>
        <w:t xml:space="preserve">Normalized (FPKM) expression levels of transcripts over time</w:t>
      </w:r>
      <w:r>
        <w:t xml:space="preserve">. The expression levels (FPKM) of individual transcripts as a percentage of the total expression of all transcripts at each time point are indicated. Only transcripts from our RNA-seq data are included here.</w:t>
      </w:r>
      <w:r>
        <w:t xml:space="preserve"> </w:t>
      </w:r>
      <w:r>
        <w:rPr>
          <w:bCs/>
          <w:b/>
        </w:rPr>
        <w:t xml:space="preserve">b)</w:t>
      </w:r>
      <w:r>
        <w:t xml:space="preserve"> </w:t>
      </w:r>
      <w:r>
        <w:rPr>
          <w:iCs/>
          <w:i/>
        </w:rPr>
        <w:t xml:space="preserve">Normalized (FPKM) expression levels of transcripts by region over time</w:t>
      </w:r>
      <w:r>
        <w:t xml:space="preserve">. 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Cs/>
          <w:b/>
        </w:rPr>
        <w:t xml:space="preserve">c)</w:t>
      </w:r>
      <w:r>
        <w:t xml:space="preserve"> </w:t>
      </w:r>
      <w:r>
        <w:rPr>
          <w:iCs/>
          <w:i/>
        </w:rPr>
        <w:t xml:space="preserve">Relative abundances of all splice junctions grouped by region/TU over time</w:t>
      </w:r>
      <w:r>
        <w:t xml:space="preserve">. After assigning all</w:t>
      </w:r>
      <w:r>
        <w:t xml:space="preserve"> </w:t>
      </w:r>
      <w:r>
        <w:rPr>
          <w:bCs/>
          <w:b/>
        </w:rPr>
        <w:t xml:space="preserve">2,457</w:t>
      </w:r>
      <w:r>
        <w:t xml:space="preserve"> </w:t>
      </w:r>
      <w:r>
        <w:t xml:space="preserve">unique junctions to a TU and the total junction reads counted at each time point for each region, the total junction reads for each TU plotted as percentage of all junction reads at each time point is indicated. Note that the junction read counts are not normalized.</w:t>
      </w:r>
      <w:r>
        <w:t xml:space="preserve"> </w:t>
      </w:r>
      <w:r>
        <w:rPr>
          <w:bCs/>
          <w:b/>
        </w:rPr>
        <w:t xml:space="preserve">d)</w:t>
      </w:r>
      <w:r>
        <w:t xml:space="preserve"> </w:t>
      </w:r>
      <w:r>
        <w:rPr>
          <w:iCs/>
          <w:i/>
        </w:rPr>
        <w:t xml:space="preserve">Relative abundances of junctions in transcriptome grouped by region/TU over time</w:t>
      </w:r>
      <w:r>
        <w:t xml:space="preserve">. This is identical to</w:t>
      </w:r>
      <w:r>
        <w:t xml:space="preserve"> </w:t>
      </w:r>
      <w:r>
        <w:rPr>
          <w:bCs/>
          <w:b/>
        </w:rPr>
        <w:t xml:space="preserve">(c)</w:t>
      </w:r>
      <w:r>
        <w:t xml:space="preserve">, except that only the junctions found in the full transcriptome obtained from the RNA-seq data were included.</w:t>
      </w:r>
    </w:p>
    <w:p>
      <w:pPr>
        <w:pStyle w:val="BodyText"/>
      </w:pPr>
      <w:r>
        <w:drawing>
          <wp:inline>
            <wp:extent cx="5943600" cy="3566159"/>
            <wp:effectExtent b="0" l="0" r="0" t="0"/>
            <wp:docPr descr="" title="" id="117" name="Picture"/>
            <a:graphic>
              <a:graphicData uri="http://schemas.openxmlformats.org/drawingml/2006/picture">
                <pic:pic>
                  <pic:nvPicPr>
                    <pic:cNvPr descr="results/r/figures/figure_5a_d.png" id="118" name="Picture"/>
                    <pic:cNvPicPr>
                      <a:picLocks noChangeArrowheads="1" noChangeAspect="1"/>
                    </pic:cNvPicPr>
                  </pic:nvPicPr>
                  <pic:blipFill>
                    <a:blip r:embed="rId116"/>
                    <a:stretch>
                      <a:fillRect/>
                    </a:stretch>
                  </pic:blipFill>
                  <pic:spPr bwMode="auto">
                    <a:xfrm>
                      <a:off x="0" y="0"/>
                      <a:ext cx="5943600" cy="3566159"/>
                    </a:xfrm>
                    <a:prstGeom prst="rect">
                      <a:avLst/>
                    </a:prstGeom>
                    <a:noFill/>
                    <a:ln w="9525">
                      <a:noFill/>
                      <a:headEnd/>
                      <a:tailEnd/>
                    </a:ln>
                  </pic:spPr>
                </pic:pic>
              </a:graphicData>
            </a:graphic>
          </wp:inline>
        </w:drawing>
      </w:r>
      <w:r>
        <w:t xml:space="preserve"> </w:t>
      </w:r>
      <w:r>
        <w:rPr>
          <w:bCs/>
          <w:b/>
        </w:rPr>
        <w:t xml:space="preserve">Figure 5: Changes in splice donor-acceptor nucleotides over time.</w:t>
      </w:r>
      <w:r>
        <w:t xml:space="preserve"> </w:t>
      </w:r>
      <w:r>
        <w:t xml:space="preserve">The splice donor-acceptor nucleotides of THEV just like other AdVs is mostly the canonical GT-AG. At early time points (4h.p.i and 12h.p.i [</w:t>
      </w:r>
      <w:r>
        <w:rPr>
          <w:bCs/>
          <w:b/>
        </w:rPr>
        <w:t xml:space="preserve">(a)</w:t>
      </w:r>
      <w:r>
        <w:t xml:space="preserve"> </w:t>
      </w:r>
      <w:r>
        <w:t xml:space="preserve">and</w:t>
      </w:r>
      <w:r>
        <w:t xml:space="preserve"> </w:t>
      </w:r>
      <w:r>
        <w:rPr>
          <w:bCs/>
          <w:b/>
        </w:rPr>
        <w:t xml:space="preserve">(b)</w:t>
      </w:r>
      <w:r>
        <w:t xml:space="preserve">]) the junction nucleotides used appear to be well scrutinized or restricted, utilizing mostly the canonical splice nucleotides. However, as the infection progresses to the late stages (24h.p.i and 72h.p.i [</w:t>
      </w:r>
      <w:r>
        <w:rPr>
          <w:bCs/>
          <w:b/>
        </w:rPr>
        <w:t xml:space="preserve">(c)</w:t>
      </w:r>
      <w:r>
        <w:t xml:space="preserve"> </w:t>
      </w:r>
      <w:r>
        <w:t xml:space="preserve">and</w:t>
      </w:r>
      <w:r>
        <w:t xml:space="preserve"> </w:t>
      </w:r>
      <w:r>
        <w:rPr>
          <w:bCs/>
          <w:b/>
        </w:rPr>
        <w:t xml:space="preserve">(d)</w:t>
      </w:r>
      <w:r>
        <w:t xml:space="preserve">]), the selectivity of specific splice acceptor-donor pairs seems to degenerate significantly, such that all combinations of nucleotides are utilized.</w:t>
      </w:r>
    </w:p>
    <w:p>
      <w:pPr>
        <w:pStyle w:val="BodyText"/>
      </w:pPr>
      <w:r>
        <w:drawing>
          <wp:inline>
            <wp:extent cx="5943600" cy="5283200"/>
            <wp:effectExtent b="0" l="0" r="0" t="0"/>
            <wp:docPr descr="" title="" id="120" name="Picture"/>
            <a:graphic>
              <a:graphicData uri="http://schemas.openxmlformats.org/drawingml/2006/picture">
                <pic:pic>
                  <pic:nvPicPr>
                    <pic:cNvPr descr="manuscript_thev_transcriptome_files/figure-docx/region-by-region_e1_figure-1.png" id="121" name="Picture"/>
                    <pic:cNvPicPr>
                      <a:picLocks noChangeArrowheads="1" noChangeAspect="1"/>
                    </pic:cNvPicPr>
                  </pic:nvPicPr>
                  <pic:blipFill>
                    <a:blip r:embed="rId119"/>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r>
        <w:t xml:space="preserve"> </w:t>
      </w:r>
      <w:r>
        <w:drawing>
          <wp:inline>
            <wp:extent cx="5943600" cy="5283200"/>
            <wp:effectExtent b="0" l="0" r="0" t="0"/>
            <wp:docPr descr="" title="" id="123" name="Picture"/>
            <a:graphic>
              <a:graphicData uri="http://schemas.openxmlformats.org/drawingml/2006/picture">
                <pic:pic>
                  <pic:nvPicPr>
                    <pic:cNvPr descr="manuscript_thev_transcriptome_files/figure-docx/region-by-region_e2andim_figure-1.png" id="124" name="Picture"/>
                    <pic:cNvPicPr>
                      <a:picLocks noChangeArrowheads="1" noChangeAspect="1"/>
                    </pic:cNvPicPr>
                  </pic:nvPicPr>
                  <pic:blipFill>
                    <a:blip r:embed="rId122"/>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7: The splice map of the E2 and IM TUs</w:t>
      </w:r>
      <w:r>
        <w:t xml:space="preserve">. Exons are depicted as boxes connected by introns (dotted lines). Red transcripts are generated from RNA-seq data and predicted ORFs are colored grey. TRXPT_21B discovered by 3’RACE is colored black. Each transcript or ORF is labelled with its name to the right. The SSC and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5283200"/>
            <wp:effectExtent b="0" l="0" r="0" t="0"/>
            <wp:docPr descr="" title="" id="126" name="Picture"/>
            <a:graphic>
              <a:graphicData uri="http://schemas.openxmlformats.org/drawingml/2006/picture">
                <pic:pic>
                  <pic:nvPicPr>
                    <pic:cNvPr descr="manuscript_thev_transcriptome_files/figure-docx/region-by-region_e3-1.png" id="127" name="Picture"/>
                    <pic:cNvPicPr>
                      <a:picLocks noChangeArrowheads="1" noChangeAspect="1"/>
                    </pic:cNvPicPr>
                  </pic:nvPicPr>
                  <pic:blipFill>
                    <a:blip r:embed="rId125"/>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943600" cy="3714750"/>
            <wp:effectExtent b="0" l="0" r="0" t="0"/>
            <wp:docPr descr="" title="" id="129" name="Picture"/>
            <a:graphic>
              <a:graphicData uri="http://schemas.openxmlformats.org/drawingml/2006/picture">
                <pic:pic>
                  <pic:nvPicPr>
                    <pic:cNvPr descr="manuscript_thev_transcriptome_files/figure-docx/region-by-region_e4_figure-1.png" id="130" name="Picture"/>
                    <pic:cNvPicPr>
                      <a:picLocks noChangeArrowheads="1" noChangeAspect="1"/>
                    </pic:cNvPicPr>
                  </pic:nvPicPr>
                  <pic:blipFill>
                    <a:blip r:embed="rId128"/>
                    <a:stretch>
                      <a:fillRect/>
                    </a:stretch>
                  </pic:blipFill>
                  <pic:spPr bwMode="auto">
                    <a:xfrm>
                      <a:off x="0" y="0"/>
                      <a:ext cx="5943600" cy="3714750"/>
                    </a:xfrm>
                    <a:prstGeom prst="rect">
                      <a:avLst/>
                    </a:prstGeom>
                    <a:noFill/>
                    <a:ln w="9525">
                      <a:noFill/>
                      <a:headEnd/>
                      <a:tailEnd/>
                    </a:ln>
                  </pic:spPr>
                </pic:pic>
              </a:graphicData>
            </a:graphic>
          </wp:inline>
        </w:drawing>
      </w:r>
      <w:r>
        <w:t xml:space="preserve"> </w:t>
      </w:r>
      <w:r>
        <w:rPr>
          <w:bCs/>
          <w:b/>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(SSC) and stop codon (STC) of the 5’-most CDS is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pPr>
        <w:pStyle w:val="BodyText"/>
      </w:pPr>
      <w:r>
        <w:drawing>
          <wp:inline>
            <wp:extent cx="5943600" cy="5283200"/>
            <wp:effectExtent b="0" l="0" r="0" t="0"/>
            <wp:docPr descr="" title="" id="132" name="Picture"/>
            <a:graphic>
              <a:graphicData uri="http://schemas.openxmlformats.org/drawingml/2006/picture">
                <pic:pic>
                  <pic:nvPicPr>
                    <pic:cNvPr descr="manuscript_thev_transcriptome_files/figure-docx/region-by-region_mlp_figure-1.png" id="133" name="Picture"/>
                    <pic:cNvPicPr>
                      <a:picLocks noChangeArrowheads="1" noChangeAspect="1"/>
                    </pic:cNvPicPr>
                  </pic:nvPicPr>
                  <pic:blipFill>
                    <a:blip r:embed="rId131"/>
                    <a:stretch>
                      <a:fillRect/>
                    </a:stretch>
                  </pic:blipFill>
                  <pic:spPr bwMode="auto">
                    <a:xfrm>
                      <a:off x="0" y="0"/>
                      <a:ext cx="5943600" cy="5283200"/>
                    </a:xfrm>
                    <a:prstGeom prst="rect">
                      <a:avLst/>
                    </a:prstGeom>
                    <a:noFill/>
                    <a:ln w="9525">
                      <a:noFill/>
                      <a:headEnd/>
                      <a:tailEnd/>
                    </a:ln>
                  </pic:spPr>
                </pic:pic>
              </a:graphicData>
            </a:graphic>
          </wp:inline>
        </w:drawing>
      </w:r>
      <w:r>
        <w:t xml:space="preserve"> </w:t>
      </w:r>
      <w:r>
        <w:rPr>
          <w:bCs/>
          <w:b/>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Mapped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1.04e+08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6.79e+07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1.06e+08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8.38e+07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Mapped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4.32e+02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6.70e+03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1.18e+06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1.69e+07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Mean Per Base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Total unique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 (1%)</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1,208 (1%)</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21,891 (1%)</w:t>
            </w:r>
          </w:p>
        </w:tc>
      </w:tr>
    </w:tbl>
    <w:bookmarkEnd w:id="134"/>
    <w:sectPr w:rsidR="006A66D7" w:rsidSect="0032385D">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83"/>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3F6C67"/>
    <w:pPr>
      <w:keepNext/>
      <w:keepLines/>
      <w:spacing w:after="0" w:before="200"/>
      <w:outlineLvl w:val="1"/>
    </w:pPr>
    <w:rPr>
      <w:rFonts w:ascii="Arial" w:cstheme="majorBidi" w:eastAsiaTheme="majorEastAsia" w:hAnsi="Arial"/>
      <w:b/>
      <w:bCs/>
      <w:color w:themeColor="text1" w:val="000000"/>
      <w:sz w:val="28"/>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8745D"/>
    <w:pPr>
      <w:spacing w:after="180" w:before="180" w:line="480" w:lineRule="auto"/>
    </w:pPr>
    <w:rPr>
      <w:rFonts w:ascii="Arial" w:hAnsi="Arial"/>
      <w:color w:themeColor="text1" w:val="000000"/>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D4973"/>
    <w:pPr>
      <w:keepNext/>
    </w:pPr>
    <w:rPr>
      <w:rFonts w:ascii="Times New Roman" w:hAnsi="Times New Roman"/>
      <w:b/>
      <w:i w:val="0"/>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D425AA"/>
    <w:rPr>
      <w:rFonts w:ascii="Arial" w:hAnsi="Arial"/>
      <w:color w:themeColor="accent1" w:val="4F81BD"/>
      <w:sz w:val="24"/>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hyperlink" Id="rId58" Target="http://scholar.lib.vt.edu/theses/available/etd-08142006-145339/" TargetMode="External" /><Relationship Type="http://schemas.openxmlformats.org/officeDocument/2006/relationships/hyperlink" Id="rId23" Target="http://www.ncbi.nlm.nih.gov/geo" TargetMode="External" /><Relationship Type="http://schemas.openxmlformats.org/officeDocument/2006/relationships/hyperlink" Id="rId88" Target="https://doi.org/10.1006/viro.1998.9336" TargetMode="External" /><Relationship Type="http://schemas.openxmlformats.org/officeDocument/2006/relationships/hyperlink" Id="rId48" Target="https://doi.org/10.1016/B978-0-12-800276-6.00003-6" TargetMode="External" /><Relationship Type="http://schemas.openxmlformats.org/officeDocument/2006/relationships/hyperlink" Id="rId45" Target="https://doi.org/10.1016/B978-012220360-2/50018-0" TargetMode="External" /><Relationship Type="http://schemas.openxmlformats.org/officeDocument/2006/relationships/hyperlink" Id="rId41" Target="https://doi.org/10.1016/B978-012374410-4.00680-4" TargetMode="External" /><Relationship Type="http://schemas.openxmlformats.org/officeDocument/2006/relationships/hyperlink" Id="rId54" Target="https://doi.org/10.1016/j.jviromet.2009.10.007" TargetMode="External" /><Relationship Type="http://schemas.openxmlformats.org/officeDocument/2006/relationships/hyperlink" Id="rId94" Target="https://doi.org/10.1016/j.jviromet.2016.11.002" TargetMode="External" /><Relationship Type="http://schemas.openxmlformats.org/officeDocument/2006/relationships/hyperlink" Id="rId50" Target="https://doi.org/10.1016/j.meegid.2011.03.021" TargetMode="External" /><Relationship Type="http://schemas.openxmlformats.org/officeDocument/2006/relationships/hyperlink" Id="rId70" Target="https://doi.org/10.1016/j.virol.2014.04.006" TargetMode="External" /><Relationship Type="http://schemas.openxmlformats.org/officeDocument/2006/relationships/hyperlink" Id="rId56" Target="https://doi.org/10.1016/j.virusres.2009.04.012" TargetMode="External" /><Relationship Type="http://schemas.openxmlformats.org/officeDocument/2006/relationships/hyperlink" Id="rId63" Target="https://doi.org/10.1016/s0145-305x(99)00075-0" TargetMode="External" /><Relationship Type="http://schemas.openxmlformats.org/officeDocument/2006/relationships/hyperlink" Id="rId80" Target="https://doi.org/10.1038/nature11233" TargetMode="External" /><Relationship Type="http://schemas.openxmlformats.org/officeDocument/2006/relationships/hyperlink" Id="rId84" Target="https://doi.org/10.1038/nprot.2016.095" TargetMode="External" /><Relationship Type="http://schemas.openxmlformats.org/officeDocument/2006/relationships/hyperlink" Id="rId68" Target="https://doi.org/10.1038/s42003-020-0849-9" TargetMode="External" /><Relationship Type="http://schemas.openxmlformats.org/officeDocument/2006/relationships/hyperlink" Id="rId66" Target="https://doi.org/10.1080/01652176.2016.1277281" TargetMode="External" /><Relationship Type="http://schemas.openxmlformats.org/officeDocument/2006/relationships/hyperlink" Id="rId52" Target="https://doi.org/10.1099/0022-1317-81-10-2431" TargetMode="External" /><Relationship Type="http://schemas.openxmlformats.org/officeDocument/2006/relationships/hyperlink" Id="rId60" Target="https://doi.org/10.1099/vir.0.010090-0" TargetMode="External" /><Relationship Type="http://schemas.openxmlformats.org/officeDocument/2006/relationships/hyperlink" Id="rId39" Target="https://doi.org/10.1099/vir.0.19497-0" TargetMode="External" /><Relationship Type="http://schemas.openxmlformats.org/officeDocument/2006/relationships/hyperlink" Id="rId90" Target="https://doi.org/10.1101/gad.10.12.1557" TargetMode="External" /><Relationship Type="http://schemas.openxmlformats.org/officeDocument/2006/relationships/hyperlink" Id="rId96" Target="https://doi.org/10.1101/pdb.prot095216" TargetMode="External" /><Relationship Type="http://schemas.openxmlformats.org/officeDocument/2006/relationships/hyperlink" Id="rId72" Target="https://doi.org/10.1111/cmi.12053" TargetMode="External" /><Relationship Type="http://schemas.openxmlformats.org/officeDocument/2006/relationships/hyperlink" Id="rId76" Target="https://doi.org/10.1128/jvi.00107-10" TargetMode="External" /><Relationship Type="http://schemas.openxmlformats.org/officeDocument/2006/relationships/hyperlink" Id="rId78" Target="https://doi.org/10.1128/jvi.01869-20" TargetMode="External" /><Relationship Type="http://schemas.openxmlformats.org/officeDocument/2006/relationships/hyperlink" Id="rId74" Target="https://doi.org/10.1128/jvi.45.1.185-191.1983" TargetMode="External" /><Relationship Type="http://schemas.openxmlformats.org/officeDocument/2006/relationships/hyperlink" Id="rId43" Target="https://doi.org/10.1128/jvi.77.13.7590-7600.2003" TargetMode="External" /><Relationship Type="http://schemas.openxmlformats.org/officeDocument/2006/relationships/hyperlink" Id="rId98" Target="https://doi.org/10.12688/f1000research.29032.2" TargetMode="External" /><Relationship Type="http://schemas.openxmlformats.org/officeDocument/2006/relationships/hyperlink" Id="rId86" Target="https://doi.org/10.18129/B9.BIOC.BALLGOWN" TargetMode="External" /><Relationship Type="http://schemas.openxmlformats.org/officeDocument/2006/relationships/hyperlink" Id="rId92" Target="https://doi.org/10.2741/3059" TargetMode="External" /><Relationship Type="http://schemas.openxmlformats.org/officeDocument/2006/relationships/hyperlink" Id="rId100" Target="https://doi.org/10.5281/ZENODO.7598955" TargetMode="External" /><Relationship Type="http://schemas.openxmlformats.org/officeDocument/2006/relationships/hyperlink" Id="rId36" Target="https://github.com/Abraham-Quaye/thev_transcriptome" TargetMode="External" /><Relationship Type="http://schemas.openxmlformats.org/officeDocument/2006/relationships/hyperlink" Id="rId31" Target="https://www.ncbi.nlm.nih.gov/genome/?term=Meleagris+gallopavo" TargetMode="External" /><Relationship Type="http://schemas.openxmlformats.org/officeDocument/2006/relationships/hyperlink" Id="rId30" Target="https://www.ncbi.nlm.nih.gov/nuccore/AY849321.1/" TargetMode="External" /><Relationship Type="http://schemas.openxmlformats.org/officeDocument/2006/relationships/hyperlink" Id="rId82" Target="https://www.sciencedirect.com/science/article/abs/pii/S016817021830529X?via%3Dihub" TargetMode="External" /><Relationship Type="http://schemas.openxmlformats.org/officeDocument/2006/relationships/hyperlink" Id="rId20" Target="mailto:brian_poole@byu.edu" TargetMode="External" /></Relationships>
</file>

<file path=word/_rels/footnotes.xml.rels><?xml version="1.0" encoding="UTF-8"?><Relationships xmlns="http://schemas.openxmlformats.org/package/2006/relationships"><Relationship Type="http://schemas.openxmlformats.org/officeDocument/2006/relationships/hyperlink" Id="rId58" Target="http://scholar.lib.vt.edu/theses/available/etd-08142006-145339/" TargetMode="External" /><Relationship Type="http://schemas.openxmlformats.org/officeDocument/2006/relationships/hyperlink" Id="rId23" Target="http://www.ncbi.nlm.nih.gov/geo" TargetMode="External" /><Relationship Type="http://schemas.openxmlformats.org/officeDocument/2006/relationships/hyperlink" Id="rId88" Target="https://doi.org/10.1006/viro.1998.9336" TargetMode="External" /><Relationship Type="http://schemas.openxmlformats.org/officeDocument/2006/relationships/hyperlink" Id="rId48" Target="https://doi.org/10.1016/B978-0-12-800276-6.00003-6" TargetMode="External" /><Relationship Type="http://schemas.openxmlformats.org/officeDocument/2006/relationships/hyperlink" Id="rId45" Target="https://doi.org/10.1016/B978-012220360-2/50018-0" TargetMode="External" /><Relationship Type="http://schemas.openxmlformats.org/officeDocument/2006/relationships/hyperlink" Id="rId41" Target="https://doi.org/10.1016/B978-012374410-4.00680-4" TargetMode="External" /><Relationship Type="http://schemas.openxmlformats.org/officeDocument/2006/relationships/hyperlink" Id="rId54" Target="https://doi.org/10.1016/j.jviromet.2009.10.007" TargetMode="External" /><Relationship Type="http://schemas.openxmlformats.org/officeDocument/2006/relationships/hyperlink" Id="rId94" Target="https://doi.org/10.1016/j.jviromet.2016.11.002" TargetMode="External" /><Relationship Type="http://schemas.openxmlformats.org/officeDocument/2006/relationships/hyperlink" Id="rId50" Target="https://doi.org/10.1016/j.meegid.2011.03.021" TargetMode="External" /><Relationship Type="http://schemas.openxmlformats.org/officeDocument/2006/relationships/hyperlink" Id="rId70" Target="https://doi.org/10.1016/j.virol.2014.04.006" TargetMode="External" /><Relationship Type="http://schemas.openxmlformats.org/officeDocument/2006/relationships/hyperlink" Id="rId56" Target="https://doi.org/10.1016/j.virusres.2009.04.012" TargetMode="External" /><Relationship Type="http://schemas.openxmlformats.org/officeDocument/2006/relationships/hyperlink" Id="rId63" Target="https://doi.org/10.1016/s0145-305x(99)00075-0" TargetMode="External" /><Relationship Type="http://schemas.openxmlformats.org/officeDocument/2006/relationships/hyperlink" Id="rId80" Target="https://doi.org/10.1038/nature11233" TargetMode="External" /><Relationship Type="http://schemas.openxmlformats.org/officeDocument/2006/relationships/hyperlink" Id="rId84" Target="https://doi.org/10.1038/nprot.2016.095" TargetMode="External" /><Relationship Type="http://schemas.openxmlformats.org/officeDocument/2006/relationships/hyperlink" Id="rId68" Target="https://doi.org/10.1038/s42003-020-0849-9" TargetMode="External" /><Relationship Type="http://schemas.openxmlformats.org/officeDocument/2006/relationships/hyperlink" Id="rId66" Target="https://doi.org/10.1080/01652176.2016.1277281" TargetMode="External" /><Relationship Type="http://schemas.openxmlformats.org/officeDocument/2006/relationships/hyperlink" Id="rId52" Target="https://doi.org/10.1099/0022-1317-81-10-2431" TargetMode="External" /><Relationship Type="http://schemas.openxmlformats.org/officeDocument/2006/relationships/hyperlink" Id="rId60" Target="https://doi.org/10.1099/vir.0.010090-0" TargetMode="External" /><Relationship Type="http://schemas.openxmlformats.org/officeDocument/2006/relationships/hyperlink" Id="rId39" Target="https://doi.org/10.1099/vir.0.19497-0" TargetMode="External" /><Relationship Type="http://schemas.openxmlformats.org/officeDocument/2006/relationships/hyperlink" Id="rId90" Target="https://doi.org/10.1101/gad.10.12.1557" TargetMode="External" /><Relationship Type="http://schemas.openxmlformats.org/officeDocument/2006/relationships/hyperlink" Id="rId96" Target="https://doi.org/10.1101/pdb.prot095216" TargetMode="External" /><Relationship Type="http://schemas.openxmlformats.org/officeDocument/2006/relationships/hyperlink" Id="rId72" Target="https://doi.org/10.1111/cmi.12053" TargetMode="External" /><Relationship Type="http://schemas.openxmlformats.org/officeDocument/2006/relationships/hyperlink" Id="rId76" Target="https://doi.org/10.1128/jvi.00107-10" TargetMode="External" /><Relationship Type="http://schemas.openxmlformats.org/officeDocument/2006/relationships/hyperlink" Id="rId78" Target="https://doi.org/10.1128/jvi.01869-20" TargetMode="External" /><Relationship Type="http://schemas.openxmlformats.org/officeDocument/2006/relationships/hyperlink" Id="rId74" Target="https://doi.org/10.1128/jvi.45.1.185-191.1983" TargetMode="External" /><Relationship Type="http://schemas.openxmlformats.org/officeDocument/2006/relationships/hyperlink" Id="rId43" Target="https://doi.org/10.1128/jvi.77.13.7590-7600.2003" TargetMode="External" /><Relationship Type="http://schemas.openxmlformats.org/officeDocument/2006/relationships/hyperlink" Id="rId98" Target="https://doi.org/10.12688/f1000research.29032.2" TargetMode="External" /><Relationship Type="http://schemas.openxmlformats.org/officeDocument/2006/relationships/hyperlink" Id="rId86" Target="https://doi.org/10.18129/B9.BIOC.BALLGOWN" TargetMode="External" /><Relationship Type="http://schemas.openxmlformats.org/officeDocument/2006/relationships/hyperlink" Id="rId92" Target="https://doi.org/10.2741/3059" TargetMode="External" /><Relationship Type="http://schemas.openxmlformats.org/officeDocument/2006/relationships/hyperlink" Id="rId100" Target="https://doi.org/10.5281/ZENODO.7598955" TargetMode="External" /><Relationship Type="http://schemas.openxmlformats.org/officeDocument/2006/relationships/hyperlink" Id="rId36" Target="https://github.com/Abraham-Quaye/thev_transcriptome" TargetMode="External" /><Relationship Type="http://schemas.openxmlformats.org/officeDocument/2006/relationships/hyperlink" Id="rId31" Target="https://www.ncbi.nlm.nih.gov/genome/?term=Meleagris+gallopavo" TargetMode="External" /><Relationship Type="http://schemas.openxmlformats.org/officeDocument/2006/relationships/hyperlink" Id="rId30" Target="https://www.ncbi.nlm.nih.gov/nuccore/AY849321.1/" TargetMode="External" /><Relationship Type="http://schemas.openxmlformats.org/officeDocument/2006/relationships/hyperlink" Id="rId82" Target="https://www.sciencedirect.com/science/article/abs/pii/S016817021830529X?via%3Dihub" TargetMode="External" /><Relationship Type="http://schemas.openxmlformats.org/officeDocument/2006/relationships/hyperlink" Id="rId20"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145</Words>
  <Characters>828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Characterizing the Transcriptome of Turkey Hemorrhagic Enteritis Virus</dc:title>
  <dc:creator/>
  <cp:keywords/>
  <dcterms:created xsi:type="dcterms:W3CDTF">2024-01-31T11:58:05Z</dcterms:created>
  <dcterms:modified xsi:type="dcterms:W3CDTF">2024-01-31T11:58:05Z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